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38509" w14:textId="77777777" w:rsidR="002166BB" w:rsidRPr="002166BB" w:rsidRDefault="002166BB" w:rsidP="002166BB">
      <w:pPr>
        <w:spacing w:after="0"/>
        <w:jc w:val="center"/>
        <w:rPr>
          <w:rFonts w:ascii="Arial" w:hAnsi="Arial" w:cs="Arial"/>
          <w:b/>
          <w:sz w:val="24"/>
          <w:szCs w:val="24"/>
        </w:rPr>
      </w:pPr>
      <w:r w:rsidRPr="002166BB">
        <w:rPr>
          <w:rFonts w:ascii="Arial" w:hAnsi="Arial" w:cs="Arial"/>
          <w:b/>
          <w:noProof/>
          <w:sz w:val="24"/>
          <w:szCs w:val="24"/>
          <w:lang w:eastAsia="en-GB"/>
        </w:rPr>
        <w:drawing>
          <wp:inline distT="0" distB="0" distL="0" distR="0" wp14:anchorId="5508446E" wp14:editId="05F1222F">
            <wp:extent cx="2038350" cy="1323975"/>
            <wp:effectExtent l="0" t="0" r="0" b="9525"/>
            <wp:docPr id="2" name="Picture 2" descr="The Department of Justice Logo - in English, Irish and Ulster Scots.  The Department's web address is also provide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1323975"/>
                    </a:xfrm>
                    <a:prstGeom prst="rect">
                      <a:avLst/>
                    </a:prstGeom>
                    <a:noFill/>
                    <a:ln>
                      <a:noFill/>
                    </a:ln>
                  </pic:spPr>
                </pic:pic>
              </a:graphicData>
            </a:graphic>
          </wp:inline>
        </w:drawing>
      </w:r>
    </w:p>
    <w:p w14:paraId="7AD50679" w14:textId="77777777" w:rsidR="002166BB" w:rsidRPr="002166BB" w:rsidRDefault="002166BB" w:rsidP="002166BB">
      <w:pPr>
        <w:spacing w:line="360" w:lineRule="auto"/>
        <w:ind w:left="720"/>
        <w:contextualSpacing/>
        <w:jc w:val="center"/>
        <w:rPr>
          <w:rFonts w:ascii="Arial" w:hAnsi="Arial" w:cs="Arial"/>
          <w:b/>
          <w:bCs/>
          <w:color w:val="1F497D"/>
          <w:sz w:val="24"/>
          <w:szCs w:val="24"/>
        </w:rPr>
      </w:pPr>
    </w:p>
    <w:p w14:paraId="423B47F4" w14:textId="77777777" w:rsidR="002166BB" w:rsidRPr="002166BB" w:rsidRDefault="002166BB" w:rsidP="002166BB">
      <w:pPr>
        <w:spacing w:line="360" w:lineRule="auto"/>
        <w:ind w:left="720"/>
        <w:contextualSpacing/>
        <w:jc w:val="center"/>
        <w:rPr>
          <w:rFonts w:ascii="Arial" w:hAnsi="Arial" w:cs="Arial"/>
          <w:b/>
          <w:bCs/>
          <w:color w:val="1F497D"/>
          <w:sz w:val="24"/>
          <w:szCs w:val="24"/>
        </w:rPr>
      </w:pPr>
    </w:p>
    <w:p w14:paraId="3B105886" w14:textId="59663CE7" w:rsidR="002166BB" w:rsidRPr="00F713C8" w:rsidRDefault="002166BB" w:rsidP="003769AB">
      <w:pPr>
        <w:spacing w:line="360" w:lineRule="auto"/>
        <w:contextualSpacing/>
        <w:jc w:val="center"/>
        <w:rPr>
          <w:rFonts w:ascii="Arial" w:hAnsi="Arial" w:cs="Arial"/>
          <w:b/>
          <w:bCs/>
          <w:color w:val="1F497D"/>
          <w:sz w:val="48"/>
          <w:szCs w:val="48"/>
        </w:rPr>
      </w:pPr>
      <w:r w:rsidRPr="00F713C8">
        <w:rPr>
          <w:rFonts w:ascii="Arial" w:hAnsi="Arial" w:cs="Arial"/>
          <w:b/>
          <w:bCs/>
          <w:color w:val="1F497D"/>
          <w:sz w:val="48"/>
          <w:szCs w:val="48"/>
        </w:rPr>
        <w:t>Public Consultation on Increasing the Minimum Age of Criminal Responsibility in Northern Ireland from 10 Years to 14 Years</w:t>
      </w:r>
    </w:p>
    <w:p w14:paraId="7D20D9B4" w14:textId="0703AE08" w:rsidR="002166BB" w:rsidRDefault="002166BB" w:rsidP="002166BB">
      <w:pPr>
        <w:spacing w:line="360" w:lineRule="auto"/>
        <w:ind w:left="720"/>
        <w:contextualSpacing/>
        <w:jc w:val="center"/>
        <w:rPr>
          <w:rFonts w:ascii="Arial" w:hAnsi="Arial" w:cs="Arial"/>
          <w:b/>
          <w:bCs/>
          <w:color w:val="1F497D"/>
          <w:sz w:val="48"/>
          <w:szCs w:val="48"/>
        </w:rPr>
      </w:pPr>
    </w:p>
    <w:p w14:paraId="33382719" w14:textId="0C40BAC9" w:rsidR="00F713C8" w:rsidRDefault="00F713C8" w:rsidP="002166BB">
      <w:pPr>
        <w:spacing w:line="360" w:lineRule="auto"/>
        <w:ind w:left="720"/>
        <w:contextualSpacing/>
        <w:jc w:val="center"/>
        <w:rPr>
          <w:rFonts w:ascii="Arial" w:hAnsi="Arial" w:cs="Arial"/>
          <w:b/>
          <w:bCs/>
          <w:color w:val="1F497D"/>
          <w:sz w:val="48"/>
          <w:szCs w:val="48"/>
        </w:rPr>
      </w:pPr>
    </w:p>
    <w:p w14:paraId="2A4A5630" w14:textId="00D92684" w:rsidR="00F713C8" w:rsidRDefault="00F713C8" w:rsidP="002166BB">
      <w:pPr>
        <w:spacing w:line="360" w:lineRule="auto"/>
        <w:ind w:left="720"/>
        <w:contextualSpacing/>
        <w:jc w:val="center"/>
        <w:rPr>
          <w:rFonts w:ascii="Arial" w:hAnsi="Arial" w:cs="Arial"/>
          <w:b/>
          <w:bCs/>
          <w:color w:val="1F497D"/>
          <w:sz w:val="48"/>
          <w:szCs w:val="48"/>
        </w:rPr>
      </w:pPr>
    </w:p>
    <w:p w14:paraId="25A73679" w14:textId="1AE1935B" w:rsidR="00F713C8" w:rsidRDefault="00F713C8" w:rsidP="002166BB">
      <w:pPr>
        <w:spacing w:line="360" w:lineRule="auto"/>
        <w:ind w:left="720"/>
        <w:contextualSpacing/>
        <w:jc w:val="center"/>
        <w:rPr>
          <w:rFonts w:ascii="Arial" w:hAnsi="Arial" w:cs="Arial"/>
          <w:b/>
          <w:bCs/>
          <w:color w:val="1F497D"/>
          <w:sz w:val="48"/>
          <w:szCs w:val="48"/>
        </w:rPr>
      </w:pPr>
    </w:p>
    <w:p w14:paraId="5ADECF67" w14:textId="30C79399" w:rsidR="00F713C8" w:rsidRDefault="00F713C8" w:rsidP="002166BB">
      <w:pPr>
        <w:spacing w:line="360" w:lineRule="auto"/>
        <w:ind w:left="720"/>
        <w:contextualSpacing/>
        <w:jc w:val="center"/>
        <w:rPr>
          <w:rFonts w:ascii="Arial" w:hAnsi="Arial" w:cs="Arial"/>
          <w:b/>
          <w:bCs/>
          <w:color w:val="1F497D"/>
          <w:sz w:val="48"/>
          <w:szCs w:val="48"/>
        </w:rPr>
      </w:pPr>
    </w:p>
    <w:p w14:paraId="73762966" w14:textId="171F1F93" w:rsidR="00F713C8" w:rsidRDefault="00F713C8" w:rsidP="002166BB">
      <w:pPr>
        <w:spacing w:line="360" w:lineRule="auto"/>
        <w:ind w:left="720"/>
        <w:contextualSpacing/>
        <w:jc w:val="center"/>
        <w:rPr>
          <w:rFonts w:ascii="Arial" w:hAnsi="Arial" w:cs="Arial"/>
          <w:b/>
          <w:bCs/>
          <w:color w:val="1F497D"/>
          <w:sz w:val="48"/>
          <w:szCs w:val="48"/>
        </w:rPr>
      </w:pPr>
    </w:p>
    <w:p w14:paraId="200B0513" w14:textId="77777777" w:rsidR="00F713C8" w:rsidRPr="00F713C8" w:rsidRDefault="00F713C8" w:rsidP="002166BB">
      <w:pPr>
        <w:spacing w:line="360" w:lineRule="auto"/>
        <w:ind w:left="720"/>
        <w:contextualSpacing/>
        <w:jc w:val="center"/>
        <w:rPr>
          <w:rFonts w:ascii="Arial" w:hAnsi="Arial" w:cs="Arial"/>
          <w:b/>
          <w:bCs/>
          <w:color w:val="1F497D"/>
          <w:sz w:val="48"/>
          <w:szCs w:val="48"/>
        </w:rPr>
      </w:pPr>
    </w:p>
    <w:p w14:paraId="704CC41A" w14:textId="77777777" w:rsidR="002166BB" w:rsidRPr="002166BB" w:rsidRDefault="002166BB" w:rsidP="002166BB">
      <w:pPr>
        <w:spacing w:line="360" w:lineRule="auto"/>
        <w:ind w:left="720"/>
        <w:contextualSpacing/>
        <w:jc w:val="center"/>
        <w:rPr>
          <w:rFonts w:ascii="Arial" w:hAnsi="Arial" w:cs="Arial"/>
          <w:b/>
          <w:bCs/>
          <w:color w:val="1F497D"/>
          <w:sz w:val="24"/>
          <w:szCs w:val="24"/>
        </w:rPr>
      </w:pPr>
    </w:p>
    <w:p w14:paraId="4C0C0112" w14:textId="7EF932CF" w:rsidR="002166BB" w:rsidRPr="00F713C8" w:rsidRDefault="002166BB" w:rsidP="003769AB">
      <w:pPr>
        <w:spacing w:line="360" w:lineRule="auto"/>
        <w:contextualSpacing/>
        <w:jc w:val="center"/>
        <w:rPr>
          <w:rFonts w:ascii="Arial" w:hAnsi="Arial" w:cs="Arial"/>
          <w:b/>
          <w:bCs/>
          <w:color w:val="1F497D"/>
          <w:sz w:val="40"/>
          <w:szCs w:val="40"/>
        </w:rPr>
      </w:pPr>
      <w:r w:rsidRPr="00F713C8">
        <w:rPr>
          <w:rFonts w:ascii="Arial" w:hAnsi="Arial" w:cs="Arial"/>
          <w:b/>
          <w:bCs/>
          <w:color w:val="1F497D"/>
          <w:sz w:val="40"/>
          <w:szCs w:val="40"/>
        </w:rPr>
        <w:t>October 2022</w:t>
      </w:r>
    </w:p>
    <w:p w14:paraId="67B44CD9" w14:textId="77777777" w:rsidR="002166BB" w:rsidRPr="002166BB" w:rsidRDefault="002166BB" w:rsidP="002166BB">
      <w:pPr>
        <w:jc w:val="center"/>
        <w:rPr>
          <w:rFonts w:ascii="Arial" w:hAnsi="Arial" w:cs="Arial"/>
          <w:b/>
          <w:sz w:val="24"/>
          <w:szCs w:val="24"/>
        </w:rPr>
      </w:pPr>
    </w:p>
    <w:p w14:paraId="415DF7A0" w14:textId="77777777" w:rsidR="002166BB" w:rsidRPr="002166BB" w:rsidRDefault="002166BB">
      <w:pPr>
        <w:rPr>
          <w:rFonts w:ascii="Arial" w:hAnsi="Arial" w:cs="Arial"/>
          <w:b/>
          <w:sz w:val="24"/>
          <w:szCs w:val="24"/>
        </w:rPr>
      </w:pPr>
      <w:r w:rsidRPr="002166BB">
        <w:rPr>
          <w:rFonts w:ascii="Arial" w:hAnsi="Arial" w:cs="Arial"/>
          <w:b/>
          <w:sz w:val="24"/>
          <w:szCs w:val="24"/>
        </w:rPr>
        <w:br w:type="page"/>
      </w:r>
    </w:p>
    <w:p w14:paraId="5671B787" w14:textId="68A93F72" w:rsidR="0087001F" w:rsidRDefault="0087001F" w:rsidP="0087001F">
      <w:pPr>
        <w:jc w:val="center"/>
        <w:rPr>
          <w:rFonts w:ascii="Arial" w:hAnsi="Arial" w:cs="Arial"/>
          <w:b/>
          <w:sz w:val="24"/>
          <w:szCs w:val="24"/>
        </w:rPr>
      </w:pPr>
      <w:r w:rsidRPr="0087001F">
        <w:rPr>
          <w:rFonts w:ascii="Arial" w:hAnsi="Arial" w:cs="Arial"/>
          <w:b/>
          <w:noProof/>
          <w:sz w:val="24"/>
          <w:szCs w:val="24"/>
          <w:lang w:eastAsia="en-GB"/>
        </w:rPr>
        <w:lastRenderedPageBreak/>
        <w:drawing>
          <wp:anchor distT="0" distB="0" distL="114300" distR="114300" simplePos="0" relativeHeight="251658240" behindDoc="1" locked="0" layoutInCell="1" allowOverlap="1" wp14:anchorId="78E83085" wp14:editId="0765B14C">
            <wp:simplePos x="0" y="0"/>
            <wp:positionH relativeFrom="column">
              <wp:posOffset>4592691</wp:posOffset>
            </wp:positionH>
            <wp:positionV relativeFrom="paragraph">
              <wp:posOffset>-470414</wp:posOffset>
            </wp:positionV>
            <wp:extent cx="1744345" cy="1146810"/>
            <wp:effectExtent l="0" t="0" r="8255" b="0"/>
            <wp:wrapNone/>
            <wp:docPr id="1" name="Picture 1" descr="A photograph of the Justice Minister, Naomi Long M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4345"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1BFA0" w14:textId="77777777" w:rsidR="0087001F" w:rsidRDefault="0087001F" w:rsidP="0087001F">
      <w:pPr>
        <w:jc w:val="center"/>
        <w:rPr>
          <w:rFonts w:ascii="Arial" w:hAnsi="Arial" w:cs="Arial"/>
          <w:b/>
          <w:sz w:val="24"/>
          <w:szCs w:val="24"/>
        </w:rPr>
      </w:pPr>
    </w:p>
    <w:p w14:paraId="15B3DF76" w14:textId="6B047AB6" w:rsidR="002166BB" w:rsidRPr="0087001F" w:rsidRDefault="002166BB" w:rsidP="0087001F">
      <w:pPr>
        <w:jc w:val="center"/>
        <w:rPr>
          <w:rFonts w:ascii="Arial" w:hAnsi="Arial" w:cs="Arial"/>
          <w:b/>
          <w:sz w:val="24"/>
          <w:szCs w:val="24"/>
        </w:rPr>
      </w:pPr>
      <w:r w:rsidRPr="002166BB">
        <w:rPr>
          <w:rFonts w:ascii="Arial" w:hAnsi="Arial" w:cs="Arial"/>
          <w:b/>
          <w:sz w:val="24"/>
          <w:szCs w:val="24"/>
        </w:rPr>
        <w:t>Ministerial Foreword</w:t>
      </w:r>
    </w:p>
    <w:p w14:paraId="67E671B1" w14:textId="77777777" w:rsidR="0087001F" w:rsidRDefault="0087001F" w:rsidP="002166BB">
      <w:pPr>
        <w:spacing w:after="0" w:line="360" w:lineRule="auto"/>
        <w:jc w:val="both"/>
        <w:rPr>
          <w:rFonts w:ascii="Arial" w:hAnsi="Arial" w:cs="Arial"/>
          <w:sz w:val="24"/>
          <w:szCs w:val="24"/>
        </w:rPr>
      </w:pPr>
    </w:p>
    <w:p w14:paraId="309080FE" w14:textId="21CA45DA" w:rsidR="002166BB" w:rsidRPr="002166BB" w:rsidRDefault="002166BB" w:rsidP="002166BB">
      <w:pPr>
        <w:spacing w:after="0" w:line="360" w:lineRule="auto"/>
        <w:jc w:val="both"/>
        <w:rPr>
          <w:rFonts w:ascii="Arial" w:hAnsi="Arial" w:cs="Arial"/>
          <w:sz w:val="24"/>
          <w:szCs w:val="24"/>
        </w:rPr>
      </w:pPr>
      <w:r w:rsidRPr="002166BB">
        <w:rPr>
          <w:rFonts w:ascii="Arial" w:hAnsi="Arial" w:cs="Arial"/>
          <w:sz w:val="24"/>
          <w:szCs w:val="24"/>
        </w:rPr>
        <w:t xml:space="preserve">The age at which a child should be held criminally liable is an emotive and often controversial issue and one which has long divided opinion. The current minimum age of criminal responsibility (MACR) in Northern Ireland is 10 years old.  Below this age, a child cannot be prosecuted or held liable for any criminal acts; above this age, they can face the full force of the law. Our MACR is the lowest in Europe and substantially lower than 14 years, which the UN Committee on the Rights of the Child considers to be the very youngest age that a child should be held criminally liable. </w:t>
      </w:r>
    </w:p>
    <w:p w14:paraId="32B162EC" w14:textId="77777777" w:rsidR="002166BB" w:rsidRPr="002166BB" w:rsidRDefault="002166BB" w:rsidP="00C41CBD">
      <w:pPr>
        <w:spacing w:after="0" w:line="240" w:lineRule="auto"/>
        <w:jc w:val="both"/>
        <w:rPr>
          <w:rFonts w:ascii="Arial" w:hAnsi="Arial" w:cs="Arial"/>
          <w:sz w:val="24"/>
          <w:szCs w:val="24"/>
        </w:rPr>
      </w:pPr>
    </w:p>
    <w:p w14:paraId="00B39125" w14:textId="3E8AEE39" w:rsidR="002166BB" w:rsidRPr="002166BB" w:rsidRDefault="002166BB" w:rsidP="002166BB">
      <w:pPr>
        <w:spacing w:after="0" w:line="360" w:lineRule="auto"/>
        <w:jc w:val="both"/>
        <w:rPr>
          <w:rFonts w:ascii="Arial" w:hAnsi="Arial" w:cs="Arial"/>
          <w:sz w:val="24"/>
          <w:szCs w:val="24"/>
        </w:rPr>
      </w:pPr>
      <w:r w:rsidRPr="002166BB">
        <w:rPr>
          <w:rFonts w:ascii="Arial" w:hAnsi="Arial" w:cs="Arial"/>
          <w:sz w:val="24"/>
          <w:szCs w:val="24"/>
        </w:rPr>
        <w:t>I have long been a supporter for change in this area and have been very clear about my wish to increase MACR to bring Northern Ireland into line with international standards.  My view, which is supported by many organisations representing children’s rights and by the research evidence, is that children under 14 years should not be drawn into the youth justice system, as early contact with the justice system often has a negative long-term impact on children’s lives and patterns of offending behaviour.</w:t>
      </w:r>
    </w:p>
    <w:p w14:paraId="5CE905C6" w14:textId="77777777" w:rsidR="002166BB" w:rsidRDefault="002166BB" w:rsidP="00C41CBD">
      <w:pPr>
        <w:spacing w:after="0" w:line="240" w:lineRule="auto"/>
        <w:jc w:val="both"/>
        <w:rPr>
          <w:rFonts w:ascii="Arial" w:hAnsi="Arial" w:cs="Arial"/>
          <w:sz w:val="24"/>
          <w:szCs w:val="24"/>
        </w:rPr>
      </w:pPr>
    </w:p>
    <w:p w14:paraId="03D3E2B4" w14:textId="72E1D659" w:rsidR="002166BB" w:rsidRPr="002166BB" w:rsidRDefault="002166BB" w:rsidP="002166BB">
      <w:pPr>
        <w:spacing w:after="0" w:line="360" w:lineRule="auto"/>
        <w:jc w:val="both"/>
        <w:rPr>
          <w:rFonts w:ascii="Arial" w:hAnsi="Arial" w:cs="Arial"/>
          <w:sz w:val="24"/>
          <w:szCs w:val="24"/>
        </w:rPr>
      </w:pPr>
      <w:r w:rsidRPr="002166BB">
        <w:rPr>
          <w:rFonts w:ascii="Arial" w:hAnsi="Arial" w:cs="Arial"/>
          <w:sz w:val="24"/>
          <w:szCs w:val="24"/>
        </w:rPr>
        <w:lastRenderedPageBreak/>
        <w:t>I recognise that the youth justice system has to balance many needs, particularly those of victims and communities, alongside the welfare and future life-chances of children who have offended; however, it is in the best interests of victims and communities that we work with children who offend, to find the root cause of their behaviour and ensure they receive the support they require in order to turn their lives around.</w:t>
      </w:r>
    </w:p>
    <w:p w14:paraId="72ACD7F3" w14:textId="77777777" w:rsidR="002166BB" w:rsidRPr="002166BB" w:rsidRDefault="002166BB" w:rsidP="00C41CBD">
      <w:pPr>
        <w:spacing w:after="0" w:line="240" w:lineRule="auto"/>
        <w:jc w:val="both"/>
        <w:rPr>
          <w:rFonts w:ascii="Arial" w:hAnsi="Arial" w:cs="Arial"/>
          <w:sz w:val="24"/>
          <w:szCs w:val="24"/>
        </w:rPr>
      </w:pPr>
    </w:p>
    <w:p w14:paraId="6BE57254" w14:textId="77777777" w:rsidR="002166BB" w:rsidRPr="002166BB" w:rsidRDefault="002166BB" w:rsidP="002166BB">
      <w:pPr>
        <w:spacing w:after="0" w:line="360" w:lineRule="auto"/>
        <w:jc w:val="both"/>
        <w:rPr>
          <w:rFonts w:ascii="Arial" w:hAnsi="Arial" w:cs="Arial"/>
          <w:sz w:val="24"/>
          <w:szCs w:val="24"/>
        </w:rPr>
      </w:pPr>
      <w:r w:rsidRPr="002166BB">
        <w:rPr>
          <w:rFonts w:ascii="Arial" w:hAnsi="Arial" w:cs="Arial"/>
          <w:sz w:val="24"/>
          <w:szCs w:val="24"/>
        </w:rPr>
        <w:t>My Department’s new Strategic Framework for Youth Justice included a commitment that we would seek the views of the public on this important issue.  I encourage everyone with an interest to respond to this consultation - your views could have an impact on the future outcomes of many children in Northern Ireland.</w:t>
      </w:r>
    </w:p>
    <w:p w14:paraId="5C5FF46E" w14:textId="77777777" w:rsidR="002166BB" w:rsidRPr="002166BB" w:rsidRDefault="002166BB" w:rsidP="002166BB">
      <w:pPr>
        <w:spacing w:after="0" w:line="360" w:lineRule="auto"/>
        <w:jc w:val="both"/>
        <w:rPr>
          <w:rFonts w:ascii="Arial" w:hAnsi="Arial" w:cs="Arial"/>
          <w:sz w:val="24"/>
          <w:szCs w:val="24"/>
        </w:rPr>
      </w:pPr>
    </w:p>
    <w:p w14:paraId="39EBFF25" w14:textId="560484F0" w:rsidR="002166BB" w:rsidRPr="002166BB" w:rsidRDefault="002166BB" w:rsidP="0087001F">
      <w:pPr>
        <w:spacing w:after="0" w:line="360" w:lineRule="auto"/>
        <w:jc w:val="both"/>
        <w:rPr>
          <w:rFonts w:ascii="Arial" w:hAnsi="Arial" w:cs="Arial"/>
          <w:sz w:val="24"/>
          <w:szCs w:val="24"/>
          <w:lang w:eastAsia="en-GB"/>
        </w:rPr>
      </w:pPr>
      <w:r w:rsidRPr="002166BB">
        <w:rPr>
          <w:rFonts w:ascii="Arial" w:hAnsi="Arial" w:cs="Arial"/>
          <w:sz w:val="24"/>
          <w:szCs w:val="24"/>
          <w:lang w:eastAsia="en-GB"/>
        </w:rPr>
        <w:t xml:space="preserve"> </w:t>
      </w:r>
    </w:p>
    <w:p w14:paraId="2DA807D5" w14:textId="77777777" w:rsidR="002166BB" w:rsidRPr="002166BB" w:rsidRDefault="002166BB" w:rsidP="002166BB">
      <w:pPr>
        <w:spacing w:after="0" w:line="276" w:lineRule="auto"/>
        <w:jc w:val="both"/>
        <w:rPr>
          <w:rFonts w:ascii="Arial" w:hAnsi="Arial" w:cs="Arial"/>
          <w:sz w:val="24"/>
          <w:szCs w:val="24"/>
          <w:lang w:eastAsia="en-GB"/>
        </w:rPr>
      </w:pPr>
    </w:p>
    <w:p w14:paraId="3CF1BA10" w14:textId="1EA04E37" w:rsidR="002166BB" w:rsidRDefault="007B6460" w:rsidP="002166BB">
      <w:pPr>
        <w:spacing w:after="0"/>
        <w:rPr>
          <w:rFonts w:ascii="Arial" w:hAnsi="Arial" w:cs="Arial"/>
          <w:b/>
          <w:sz w:val="24"/>
          <w:szCs w:val="24"/>
        </w:rPr>
      </w:pPr>
      <w:r>
        <w:rPr>
          <w:rFonts w:ascii="Arial" w:hAnsi="Arial" w:cs="Arial"/>
          <w:b/>
          <w:sz w:val="24"/>
          <w:szCs w:val="24"/>
        </w:rPr>
        <w:t>Naomi Long MLA</w:t>
      </w:r>
    </w:p>
    <w:p w14:paraId="5CE58DC8" w14:textId="77777777" w:rsidR="00F64CB6" w:rsidRDefault="007B6460" w:rsidP="0087001F">
      <w:pPr>
        <w:spacing w:after="0"/>
        <w:rPr>
          <w:rFonts w:ascii="Arial" w:hAnsi="Arial" w:cs="Arial"/>
          <w:b/>
          <w:sz w:val="24"/>
          <w:szCs w:val="24"/>
        </w:rPr>
        <w:sectPr w:rsidR="00F64CB6" w:rsidSect="00D43C4C">
          <w:pgSz w:w="11906" w:h="16838"/>
          <w:pgMar w:top="1440" w:right="1440" w:bottom="1440" w:left="1440" w:header="709" w:footer="709" w:gutter="0"/>
          <w:pgBorders w:display="firstPage" w:offsetFrom="page">
            <w:top w:val="single" w:sz="24" w:space="24" w:color="990033"/>
            <w:left w:val="single" w:sz="24" w:space="24" w:color="990033"/>
            <w:bottom w:val="single" w:sz="24" w:space="24" w:color="990033"/>
            <w:right w:val="single" w:sz="24" w:space="24" w:color="990033"/>
          </w:pgBorders>
          <w:cols w:space="708"/>
          <w:docGrid w:linePitch="360"/>
        </w:sectPr>
      </w:pPr>
      <w:r>
        <w:rPr>
          <w:rFonts w:ascii="Arial" w:hAnsi="Arial" w:cs="Arial"/>
          <w:b/>
          <w:sz w:val="24"/>
          <w:szCs w:val="24"/>
        </w:rPr>
        <w:t xml:space="preserve">Department of Justice </w:t>
      </w:r>
    </w:p>
    <w:p w14:paraId="2C96EB81" w14:textId="36A71624" w:rsidR="00835220" w:rsidRPr="002166BB" w:rsidRDefault="00835220" w:rsidP="00DD2E6E">
      <w:pPr>
        <w:spacing w:after="0" w:line="360" w:lineRule="auto"/>
        <w:rPr>
          <w:rFonts w:ascii="Arial" w:hAnsi="Arial" w:cs="Arial"/>
          <w:b/>
          <w:sz w:val="24"/>
          <w:szCs w:val="24"/>
          <w:u w:val="single"/>
        </w:rPr>
      </w:pPr>
      <w:r w:rsidRPr="002166BB">
        <w:rPr>
          <w:rFonts w:ascii="Arial" w:hAnsi="Arial" w:cs="Arial"/>
          <w:b/>
          <w:sz w:val="24"/>
          <w:szCs w:val="24"/>
          <w:u w:val="single"/>
        </w:rPr>
        <w:lastRenderedPageBreak/>
        <w:t>Introduction</w:t>
      </w:r>
      <w:r w:rsidR="0002522A">
        <w:rPr>
          <w:rFonts w:ascii="Arial" w:hAnsi="Arial" w:cs="Arial"/>
          <w:b/>
          <w:sz w:val="24"/>
          <w:szCs w:val="24"/>
          <w:u w:val="single"/>
        </w:rPr>
        <w:t xml:space="preserve"> and background to the consultation</w:t>
      </w:r>
    </w:p>
    <w:p w14:paraId="720C9C5B" w14:textId="77777777" w:rsidR="00DD2E6E" w:rsidRPr="002166BB" w:rsidRDefault="00DD2E6E" w:rsidP="00C41CBD">
      <w:pPr>
        <w:spacing w:after="0" w:line="240" w:lineRule="auto"/>
        <w:rPr>
          <w:rFonts w:ascii="Arial" w:hAnsi="Arial" w:cs="Arial"/>
          <w:b/>
          <w:sz w:val="24"/>
          <w:szCs w:val="24"/>
          <w:u w:val="single"/>
        </w:rPr>
      </w:pPr>
    </w:p>
    <w:p w14:paraId="34D58B9B" w14:textId="77777777" w:rsidR="00835220" w:rsidRPr="002166BB" w:rsidRDefault="00835220" w:rsidP="00927300">
      <w:pPr>
        <w:pStyle w:val="ListParagraph"/>
        <w:numPr>
          <w:ilvl w:val="0"/>
          <w:numId w:val="1"/>
        </w:numPr>
        <w:spacing w:after="0" w:line="360" w:lineRule="auto"/>
        <w:jc w:val="both"/>
        <w:rPr>
          <w:rFonts w:ascii="Arial" w:hAnsi="Arial" w:cs="Arial"/>
          <w:sz w:val="24"/>
          <w:szCs w:val="24"/>
        </w:rPr>
      </w:pPr>
      <w:r w:rsidRPr="002166BB">
        <w:rPr>
          <w:rFonts w:ascii="Arial" w:hAnsi="Arial" w:cs="Arial"/>
          <w:sz w:val="24"/>
          <w:szCs w:val="24"/>
        </w:rPr>
        <w:t xml:space="preserve">The minimum age of criminal responsibility (MACR) is the lowest age at which a person can be arrested and charged with committing a crime.  In Northern Ireland, the MACR is currently set at 10 years of age, which is one of the lowest in Europe, and </w:t>
      </w:r>
      <w:r w:rsidR="0054375E" w:rsidRPr="002166BB">
        <w:rPr>
          <w:rFonts w:ascii="Arial" w:hAnsi="Arial" w:cs="Arial"/>
          <w:sz w:val="24"/>
          <w:szCs w:val="24"/>
        </w:rPr>
        <w:t xml:space="preserve">also </w:t>
      </w:r>
      <w:r w:rsidRPr="002166BB">
        <w:rPr>
          <w:rFonts w:ascii="Arial" w:hAnsi="Arial" w:cs="Arial"/>
          <w:sz w:val="24"/>
          <w:szCs w:val="24"/>
        </w:rPr>
        <w:t xml:space="preserve">one of the lowest in the world. </w:t>
      </w:r>
    </w:p>
    <w:p w14:paraId="7F5987AE" w14:textId="77777777" w:rsidR="00835220" w:rsidRPr="002166BB" w:rsidRDefault="00835220" w:rsidP="00C41CBD">
      <w:pPr>
        <w:pStyle w:val="ListParagraph"/>
        <w:spacing w:after="0" w:line="240" w:lineRule="auto"/>
        <w:ind w:left="360"/>
        <w:jc w:val="both"/>
        <w:rPr>
          <w:rFonts w:ascii="Arial" w:hAnsi="Arial" w:cs="Arial"/>
          <w:sz w:val="24"/>
          <w:szCs w:val="24"/>
        </w:rPr>
      </w:pPr>
    </w:p>
    <w:p w14:paraId="28B71E44" w14:textId="77777777" w:rsidR="00835220" w:rsidRPr="002166BB" w:rsidRDefault="0054375E" w:rsidP="00927300">
      <w:pPr>
        <w:pStyle w:val="ListParagraph"/>
        <w:numPr>
          <w:ilvl w:val="0"/>
          <w:numId w:val="1"/>
        </w:numPr>
        <w:spacing w:after="0" w:line="360" w:lineRule="auto"/>
        <w:jc w:val="both"/>
        <w:rPr>
          <w:rFonts w:ascii="Arial" w:hAnsi="Arial" w:cs="Arial"/>
          <w:sz w:val="24"/>
          <w:szCs w:val="24"/>
        </w:rPr>
      </w:pPr>
      <w:r w:rsidRPr="002166BB">
        <w:rPr>
          <w:rFonts w:ascii="Arial" w:hAnsi="Arial" w:cs="Arial"/>
          <w:sz w:val="24"/>
          <w:szCs w:val="24"/>
        </w:rPr>
        <w:t>The Minister of Justice has consistently indicated her support for an increase to MACR as this would allow Northern Ireland to comply with the UN Committee on the Rights of the Child recommendation that the minimum age of criminal responsibility for Member States should be at least 1</w:t>
      </w:r>
      <w:r w:rsidR="000313EA" w:rsidRPr="002166BB">
        <w:rPr>
          <w:rFonts w:ascii="Arial" w:hAnsi="Arial" w:cs="Arial"/>
          <w:sz w:val="24"/>
          <w:szCs w:val="24"/>
        </w:rPr>
        <w:t>4</w:t>
      </w:r>
      <w:r w:rsidRPr="002166BB">
        <w:rPr>
          <w:rFonts w:ascii="Arial" w:hAnsi="Arial" w:cs="Arial"/>
          <w:sz w:val="24"/>
          <w:szCs w:val="24"/>
        </w:rPr>
        <w:t xml:space="preserve"> years of age and preferably higher. </w:t>
      </w:r>
    </w:p>
    <w:p w14:paraId="1410DA84" w14:textId="77777777" w:rsidR="0054375E" w:rsidRPr="002166BB" w:rsidRDefault="0054375E" w:rsidP="00C41CBD">
      <w:pPr>
        <w:pStyle w:val="ListParagraph"/>
        <w:spacing w:after="0" w:line="240" w:lineRule="auto"/>
        <w:jc w:val="both"/>
        <w:rPr>
          <w:rFonts w:ascii="Arial" w:hAnsi="Arial" w:cs="Arial"/>
          <w:sz w:val="24"/>
          <w:szCs w:val="24"/>
        </w:rPr>
      </w:pPr>
    </w:p>
    <w:p w14:paraId="659BBC30" w14:textId="72296AC2" w:rsidR="0054375E" w:rsidRPr="002166BB" w:rsidRDefault="006E1A22" w:rsidP="00927300">
      <w:pPr>
        <w:pStyle w:val="ListParagraph"/>
        <w:numPr>
          <w:ilvl w:val="0"/>
          <w:numId w:val="1"/>
        </w:numPr>
        <w:spacing w:after="0" w:line="360" w:lineRule="auto"/>
        <w:jc w:val="both"/>
        <w:rPr>
          <w:rFonts w:ascii="Arial" w:hAnsi="Arial" w:cs="Arial"/>
          <w:sz w:val="24"/>
          <w:szCs w:val="24"/>
        </w:rPr>
      </w:pPr>
      <w:r w:rsidRPr="002166BB">
        <w:rPr>
          <w:rFonts w:ascii="Arial" w:hAnsi="Arial" w:cs="Arial"/>
          <w:sz w:val="24"/>
          <w:szCs w:val="24"/>
        </w:rPr>
        <w:t>Minister Long’s support for an increase to</w:t>
      </w:r>
      <w:r w:rsidR="0054375E" w:rsidRPr="002166BB">
        <w:rPr>
          <w:rFonts w:ascii="Arial" w:hAnsi="Arial" w:cs="Arial"/>
          <w:sz w:val="24"/>
          <w:szCs w:val="24"/>
        </w:rPr>
        <w:t xml:space="preserve"> MACR was further </w:t>
      </w:r>
      <w:r w:rsidRPr="002166BB">
        <w:rPr>
          <w:rFonts w:ascii="Arial" w:hAnsi="Arial" w:cs="Arial"/>
          <w:sz w:val="24"/>
          <w:szCs w:val="24"/>
        </w:rPr>
        <w:t>outlined in her</w:t>
      </w:r>
      <w:r w:rsidR="0054375E" w:rsidRPr="002166BB">
        <w:rPr>
          <w:rFonts w:ascii="Arial" w:hAnsi="Arial" w:cs="Arial"/>
          <w:sz w:val="24"/>
          <w:szCs w:val="24"/>
        </w:rPr>
        <w:t xml:space="preserve"> Department’s </w:t>
      </w:r>
      <w:r w:rsidR="0054375E" w:rsidRPr="002166BB">
        <w:rPr>
          <w:rFonts w:ascii="Arial" w:hAnsi="Arial" w:cs="Arial"/>
          <w:i/>
          <w:sz w:val="24"/>
          <w:szCs w:val="24"/>
        </w:rPr>
        <w:t>Strategic Framework for Youth Justice</w:t>
      </w:r>
      <w:r w:rsidRPr="002166BB">
        <w:rPr>
          <w:rFonts w:ascii="Arial" w:hAnsi="Arial" w:cs="Arial"/>
          <w:i/>
          <w:sz w:val="24"/>
          <w:szCs w:val="24"/>
        </w:rPr>
        <w:t xml:space="preserve">, </w:t>
      </w:r>
      <w:r w:rsidRPr="002166BB">
        <w:rPr>
          <w:rFonts w:ascii="Arial" w:hAnsi="Arial" w:cs="Arial"/>
          <w:sz w:val="24"/>
          <w:szCs w:val="24"/>
        </w:rPr>
        <w:t>published in March 2022</w:t>
      </w:r>
      <w:r w:rsidR="00A97CD2" w:rsidRPr="002166BB">
        <w:rPr>
          <w:rFonts w:ascii="Arial" w:hAnsi="Arial" w:cs="Arial"/>
          <w:sz w:val="24"/>
          <w:szCs w:val="24"/>
        </w:rPr>
        <w:t>.  The Action Plan that</w:t>
      </w:r>
      <w:r w:rsidR="0054375E" w:rsidRPr="002166BB">
        <w:rPr>
          <w:rFonts w:ascii="Arial" w:hAnsi="Arial" w:cs="Arial"/>
          <w:sz w:val="24"/>
          <w:szCs w:val="24"/>
        </w:rPr>
        <w:t xml:space="preserve"> accompanied the Framework included a commitment to </w:t>
      </w:r>
      <w:r w:rsidRPr="002166BB">
        <w:rPr>
          <w:rFonts w:ascii="Arial" w:hAnsi="Arial" w:cs="Arial"/>
          <w:sz w:val="24"/>
          <w:szCs w:val="24"/>
        </w:rPr>
        <w:t xml:space="preserve">carry out a consultation to seek the views of the public on increasing MACR in Northern Ireland to 14 years old within the first year following publication. </w:t>
      </w:r>
    </w:p>
    <w:p w14:paraId="228F6D28" w14:textId="77777777" w:rsidR="006E1A22" w:rsidRPr="002166BB" w:rsidRDefault="006E1A22" w:rsidP="00927300">
      <w:pPr>
        <w:pStyle w:val="ListParagraph"/>
        <w:spacing w:after="0" w:line="240" w:lineRule="auto"/>
        <w:ind w:left="0"/>
        <w:jc w:val="both"/>
        <w:rPr>
          <w:rFonts w:ascii="Arial" w:hAnsi="Arial" w:cs="Arial"/>
          <w:sz w:val="24"/>
          <w:szCs w:val="24"/>
        </w:rPr>
      </w:pPr>
    </w:p>
    <w:p w14:paraId="735B6AB3" w14:textId="77777777" w:rsidR="00EA646C" w:rsidRPr="002166BB" w:rsidRDefault="006E1A22" w:rsidP="00927300">
      <w:pPr>
        <w:pStyle w:val="ListParagraph"/>
        <w:numPr>
          <w:ilvl w:val="0"/>
          <w:numId w:val="1"/>
        </w:numPr>
        <w:spacing w:after="0" w:line="360" w:lineRule="auto"/>
        <w:jc w:val="both"/>
        <w:rPr>
          <w:rFonts w:ascii="Arial" w:hAnsi="Arial" w:cs="Arial"/>
          <w:sz w:val="24"/>
          <w:szCs w:val="24"/>
        </w:rPr>
      </w:pPr>
      <w:r w:rsidRPr="002166BB">
        <w:rPr>
          <w:rFonts w:ascii="Arial" w:hAnsi="Arial" w:cs="Arial"/>
          <w:sz w:val="24"/>
          <w:szCs w:val="24"/>
        </w:rPr>
        <w:lastRenderedPageBreak/>
        <w:t>The outcome of this consultation will be</w:t>
      </w:r>
      <w:r w:rsidR="00EA646C" w:rsidRPr="002166BB">
        <w:rPr>
          <w:rFonts w:ascii="Arial" w:hAnsi="Arial" w:cs="Arial"/>
          <w:sz w:val="24"/>
          <w:szCs w:val="24"/>
        </w:rPr>
        <w:t xml:space="preserve"> published in due course and will be</w:t>
      </w:r>
      <w:r w:rsidRPr="002166BB">
        <w:rPr>
          <w:rFonts w:ascii="Arial" w:hAnsi="Arial" w:cs="Arial"/>
          <w:sz w:val="24"/>
          <w:szCs w:val="24"/>
        </w:rPr>
        <w:t xml:space="preserve"> used to inform the debate over future changes</w:t>
      </w:r>
      <w:r w:rsidR="00EA646C" w:rsidRPr="002166BB">
        <w:rPr>
          <w:rFonts w:ascii="Arial" w:hAnsi="Arial" w:cs="Arial"/>
          <w:sz w:val="24"/>
          <w:szCs w:val="24"/>
        </w:rPr>
        <w:t xml:space="preserve"> to MACR in Northern Ireland.</w:t>
      </w:r>
    </w:p>
    <w:p w14:paraId="151946B2" w14:textId="77777777" w:rsidR="00EA646C" w:rsidRPr="002166BB" w:rsidRDefault="00EA646C" w:rsidP="00927300">
      <w:pPr>
        <w:spacing w:after="0" w:line="240" w:lineRule="auto"/>
        <w:jc w:val="both"/>
        <w:rPr>
          <w:rFonts w:ascii="Arial" w:hAnsi="Arial" w:cs="Arial"/>
          <w:sz w:val="24"/>
          <w:szCs w:val="24"/>
        </w:rPr>
      </w:pPr>
    </w:p>
    <w:p w14:paraId="05B9E346" w14:textId="68D73B54" w:rsidR="00EA646C" w:rsidRPr="002166BB" w:rsidRDefault="00EA646C" w:rsidP="00927300">
      <w:pPr>
        <w:spacing w:after="0" w:line="360" w:lineRule="auto"/>
        <w:jc w:val="both"/>
        <w:rPr>
          <w:rFonts w:ascii="Arial" w:hAnsi="Arial" w:cs="Arial"/>
          <w:b/>
          <w:sz w:val="24"/>
          <w:szCs w:val="24"/>
          <w:u w:val="single"/>
        </w:rPr>
      </w:pPr>
      <w:r w:rsidRPr="002166BB">
        <w:rPr>
          <w:rFonts w:ascii="Arial" w:hAnsi="Arial" w:cs="Arial"/>
          <w:b/>
          <w:sz w:val="24"/>
          <w:szCs w:val="24"/>
          <w:u w:val="single"/>
        </w:rPr>
        <w:t>Background</w:t>
      </w:r>
    </w:p>
    <w:p w14:paraId="240BF17D" w14:textId="77777777" w:rsidR="00DD2E6E" w:rsidRPr="002166BB" w:rsidRDefault="00DD2E6E" w:rsidP="00927300">
      <w:pPr>
        <w:spacing w:after="0" w:line="240" w:lineRule="auto"/>
        <w:jc w:val="both"/>
        <w:rPr>
          <w:rFonts w:ascii="Arial" w:hAnsi="Arial" w:cs="Arial"/>
          <w:b/>
          <w:sz w:val="24"/>
          <w:szCs w:val="24"/>
          <w:u w:val="single"/>
        </w:rPr>
      </w:pPr>
    </w:p>
    <w:p w14:paraId="4750A848" w14:textId="39DBC259" w:rsidR="006E1A22" w:rsidRPr="002166BB" w:rsidRDefault="00EA646C" w:rsidP="007E06C7">
      <w:pPr>
        <w:pStyle w:val="ListParagraph"/>
        <w:numPr>
          <w:ilvl w:val="0"/>
          <w:numId w:val="1"/>
        </w:numPr>
        <w:spacing w:after="0" w:line="360" w:lineRule="auto"/>
        <w:ind w:left="357" w:hanging="357"/>
        <w:jc w:val="both"/>
        <w:rPr>
          <w:rFonts w:ascii="Arial" w:hAnsi="Arial" w:cs="Arial"/>
          <w:sz w:val="24"/>
          <w:szCs w:val="24"/>
        </w:rPr>
      </w:pPr>
      <w:r w:rsidRPr="002166BB">
        <w:rPr>
          <w:rFonts w:ascii="Arial" w:hAnsi="Arial" w:cs="Arial"/>
          <w:sz w:val="24"/>
          <w:szCs w:val="24"/>
        </w:rPr>
        <w:t>The minimum age at which a child c</w:t>
      </w:r>
      <w:r w:rsidR="00FB0A48" w:rsidRPr="002166BB">
        <w:rPr>
          <w:rFonts w:ascii="Arial" w:hAnsi="Arial" w:cs="Arial"/>
          <w:sz w:val="24"/>
          <w:szCs w:val="24"/>
        </w:rPr>
        <w:t>an</w:t>
      </w:r>
      <w:r w:rsidRPr="002166BB">
        <w:rPr>
          <w:rFonts w:ascii="Arial" w:hAnsi="Arial" w:cs="Arial"/>
          <w:sz w:val="24"/>
          <w:szCs w:val="24"/>
        </w:rPr>
        <w:t xml:space="preserve"> be charged with a crime</w:t>
      </w:r>
      <w:r w:rsidR="00253BFC" w:rsidRPr="002166BB">
        <w:rPr>
          <w:rFonts w:ascii="Arial" w:hAnsi="Arial" w:cs="Arial"/>
          <w:sz w:val="24"/>
          <w:szCs w:val="24"/>
        </w:rPr>
        <w:t xml:space="preserve"> remains unchanged </w:t>
      </w:r>
      <w:r w:rsidR="00B27F15">
        <w:rPr>
          <w:rFonts w:ascii="Arial" w:hAnsi="Arial" w:cs="Arial"/>
          <w:sz w:val="24"/>
          <w:szCs w:val="24"/>
        </w:rPr>
        <w:t>since the 1960</w:t>
      </w:r>
      <w:r w:rsidRPr="002166BB">
        <w:rPr>
          <w:rFonts w:ascii="Arial" w:hAnsi="Arial" w:cs="Arial"/>
          <w:sz w:val="24"/>
          <w:szCs w:val="24"/>
        </w:rPr>
        <w:t xml:space="preserve">s when, following a recommendation </w:t>
      </w:r>
      <w:r w:rsidR="00253BFC" w:rsidRPr="002166BB">
        <w:rPr>
          <w:rFonts w:ascii="Arial" w:hAnsi="Arial" w:cs="Arial"/>
          <w:sz w:val="24"/>
          <w:szCs w:val="24"/>
        </w:rPr>
        <w:t>from a report into the youth justice system, it was increased from 8 years to 10 years in England, Wales and Northern Ireland.</w:t>
      </w:r>
      <w:r w:rsidR="006E1A22" w:rsidRPr="002166BB">
        <w:rPr>
          <w:rFonts w:ascii="Arial" w:hAnsi="Arial" w:cs="Arial"/>
          <w:sz w:val="24"/>
          <w:szCs w:val="24"/>
        </w:rPr>
        <w:t xml:space="preserve"> </w:t>
      </w:r>
      <w:r w:rsidR="00FB0A48" w:rsidRPr="002166BB">
        <w:rPr>
          <w:rFonts w:ascii="Arial" w:hAnsi="Arial" w:cs="Arial"/>
          <w:sz w:val="24"/>
          <w:szCs w:val="24"/>
        </w:rPr>
        <w:t xml:space="preserve"> The landscape for youth justice has undergone considerable change in the intervening years, with a shift in focus from punishment to rehabilitation, however, the current MACR does not reflect this.</w:t>
      </w:r>
    </w:p>
    <w:p w14:paraId="7C54A04E" w14:textId="77777777" w:rsidR="00FB0A48" w:rsidRPr="002166BB" w:rsidRDefault="00FB0A48" w:rsidP="00C41CBD">
      <w:pPr>
        <w:pStyle w:val="ListParagraph"/>
        <w:spacing w:after="0" w:line="240" w:lineRule="auto"/>
        <w:ind w:left="360"/>
        <w:jc w:val="both"/>
        <w:rPr>
          <w:rFonts w:ascii="Arial" w:hAnsi="Arial" w:cs="Arial"/>
          <w:sz w:val="24"/>
          <w:szCs w:val="24"/>
        </w:rPr>
      </w:pPr>
    </w:p>
    <w:p w14:paraId="5596BB7B" w14:textId="77777777" w:rsidR="00407A11" w:rsidRPr="002166BB" w:rsidRDefault="009B4104" w:rsidP="00927300">
      <w:pPr>
        <w:pStyle w:val="ListParagraph"/>
        <w:numPr>
          <w:ilvl w:val="0"/>
          <w:numId w:val="1"/>
        </w:numPr>
        <w:spacing w:after="0" w:line="360" w:lineRule="auto"/>
        <w:jc w:val="both"/>
        <w:rPr>
          <w:rFonts w:ascii="Arial" w:hAnsi="Arial" w:cs="Arial"/>
          <w:sz w:val="24"/>
          <w:szCs w:val="24"/>
        </w:rPr>
      </w:pPr>
      <w:r w:rsidRPr="002166BB">
        <w:rPr>
          <w:rFonts w:ascii="Arial" w:hAnsi="Arial" w:cs="Arial"/>
          <w:sz w:val="24"/>
          <w:szCs w:val="24"/>
        </w:rPr>
        <w:t>The UN Convention on the Rights of the Child</w:t>
      </w:r>
      <w:r w:rsidRPr="002166BB">
        <w:rPr>
          <w:rFonts w:ascii="Arial" w:hAnsi="Arial" w:cs="Arial"/>
          <w:sz w:val="24"/>
          <w:szCs w:val="24"/>
          <w:shd w:val="clear" w:color="auto" w:fill="FFFFFF"/>
        </w:rPr>
        <w:t xml:space="preserve"> </w:t>
      </w:r>
      <w:r w:rsidR="00832FD2" w:rsidRPr="002166BB">
        <w:rPr>
          <w:rFonts w:ascii="Arial" w:hAnsi="Arial" w:cs="Arial"/>
          <w:sz w:val="24"/>
          <w:szCs w:val="24"/>
          <w:shd w:val="clear" w:color="auto" w:fill="FFFFFF"/>
        </w:rPr>
        <w:t xml:space="preserve">(UNCRC) </w:t>
      </w:r>
      <w:r w:rsidRPr="002166BB">
        <w:rPr>
          <w:rFonts w:ascii="Arial" w:hAnsi="Arial" w:cs="Arial"/>
          <w:sz w:val="24"/>
          <w:szCs w:val="24"/>
          <w:shd w:val="clear" w:color="auto" w:fill="FFFFFF"/>
        </w:rPr>
        <w:t>is an international human rights treaty which sets out the civil, political, economic, social, health and cultural rights of children.</w:t>
      </w:r>
      <w:r w:rsidRPr="002166BB">
        <w:rPr>
          <w:rFonts w:ascii="Arial" w:hAnsi="Arial" w:cs="Arial"/>
          <w:sz w:val="24"/>
          <w:szCs w:val="24"/>
        </w:rPr>
        <w:t xml:space="preserve"> </w:t>
      </w:r>
      <w:r w:rsidR="00407A11" w:rsidRPr="002166BB">
        <w:rPr>
          <w:rFonts w:ascii="Arial" w:hAnsi="Arial" w:cs="Arial"/>
          <w:sz w:val="24"/>
          <w:szCs w:val="24"/>
        </w:rPr>
        <w:t>Article 40(3) of the Convention requires member states to set a minimum age of criminal responsibility but does not specify the age. However, following ratification of the Convention, over 50 member states raised the minimum age</w:t>
      </w:r>
      <w:r w:rsidR="007A2ACB" w:rsidRPr="002166BB">
        <w:rPr>
          <w:rFonts w:ascii="Arial" w:hAnsi="Arial" w:cs="Arial"/>
          <w:sz w:val="24"/>
          <w:szCs w:val="24"/>
        </w:rPr>
        <w:t xml:space="preserve"> in their jurisdictions</w:t>
      </w:r>
      <w:r w:rsidR="00407A11" w:rsidRPr="002166BB">
        <w:rPr>
          <w:rFonts w:ascii="Arial" w:hAnsi="Arial" w:cs="Arial"/>
          <w:sz w:val="24"/>
          <w:szCs w:val="24"/>
        </w:rPr>
        <w:t xml:space="preserve"> which has resulted in the most common MACR internationally being 14 years.</w:t>
      </w:r>
    </w:p>
    <w:p w14:paraId="12A3544C" w14:textId="77777777" w:rsidR="00407A11" w:rsidRPr="002166BB" w:rsidRDefault="00407A11" w:rsidP="00C41CBD">
      <w:pPr>
        <w:pStyle w:val="ListParagraph"/>
        <w:spacing w:after="0" w:line="240" w:lineRule="auto"/>
        <w:jc w:val="both"/>
        <w:rPr>
          <w:rFonts w:ascii="Arial" w:hAnsi="Arial" w:cs="Arial"/>
          <w:sz w:val="24"/>
          <w:szCs w:val="24"/>
        </w:rPr>
      </w:pPr>
    </w:p>
    <w:p w14:paraId="1EE5AFB1" w14:textId="77777777" w:rsidR="00FB0A48" w:rsidRPr="002166BB" w:rsidRDefault="00FB0A48" w:rsidP="00927300">
      <w:pPr>
        <w:pStyle w:val="ListParagraph"/>
        <w:numPr>
          <w:ilvl w:val="0"/>
          <w:numId w:val="1"/>
        </w:numPr>
        <w:spacing w:after="0" w:line="360" w:lineRule="auto"/>
        <w:ind w:left="357" w:hanging="357"/>
        <w:jc w:val="both"/>
        <w:rPr>
          <w:rFonts w:ascii="Arial" w:hAnsi="Arial" w:cs="Arial"/>
          <w:sz w:val="24"/>
          <w:szCs w:val="24"/>
        </w:rPr>
      </w:pPr>
      <w:r w:rsidRPr="002166BB">
        <w:rPr>
          <w:rFonts w:ascii="Arial" w:hAnsi="Arial" w:cs="Arial"/>
          <w:sz w:val="24"/>
          <w:szCs w:val="24"/>
        </w:rPr>
        <w:lastRenderedPageBreak/>
        <w:t xml:space="preserve">In </w:t>
      </w:r>
      <w:r w:rsidR="004A3526" w:rsidRPr="002166BB">
        <w:rPr>
          <w:rFonts w:ascii="Arial" w:hAnsi="Arial" w:cs="Arial"/>
          <w:sz w:val="24"/>
          <w:szCs w:val="24"/>
        </w:rPr>
        <w:t xml:space="preserve">reports issued by the </w:t>
      </w:r>
      <w:r w:rsidRPr="002166BB">
        <w:rPr>
          <w:rFonts w:ascii="Arial" w:hAnsi="Arial" w:cs="Arial"/>
          <w:sz w:val="24"/>
          <w:szCs w:val="24"/>
        </w:rPr>
        <w:t>UN Committee on the Rights of the Child</w:t>
      </w:r>
      <w:r w:rsidR="004A3526" w:rsidRPr="002166BB">
        <w:rPr>
          <w:rFonts w:ascii="Arial" w:hAnsi="Arial" w:cs="Arial"/>
          <w:sz w:val="24"/>
          <w:szCs w:val="24"/>
        </w:rPr>
        <w:t xml:space="preserve"> in </w:t>
      </w:r>
      <w:r w:rsidR="00832FD2" w:rsidRPr="002166BB">
        <w:rPr>
          <w:rFonts w:ascii="Arial" w:hAnsi="Arial" w:cs="Arial"/>
          <w:sz w:val="24"/>
          <w:szCs w:val="24"/>
        </w:rPr>
        <w:t xml:space="preserve">response to periodic examinations on the UK’s compliance with the </w:t>
      </w:r>
      <w:r w:rsidR="007A2ACB" w:rsidRPr="002166BB">
        <w:rPr>
          <w:rFonts w:ascii="Arial" w:hAnsi="Arial" w:cs="Arial"/>
          <w:sz w:val="24"/>
          <w:szCs w:val="24"/>
        </w:rPr>
        <w:t>Convention</w:t>
      </w:r>
      <w:r w:rsidR="00832FD2" w:rsidRPr="002166BB">
        <w:rPr>
          <w:rFonts w:ascii="Arial" w:hAnsi="Arial" w:cs="Arial"/>
          <w:sz w:val="24"/>
          <w:szCs w:val="24"/>
        </w:rPr>
        <w:t>, the Committe</w:t>
      </w:r>
      <w:r w:rsidR="00274829" w:rsidRPr="002166BB">
        <w:rPr>
          <w:rFonts w:ascii="Arial" w:hAnsi="Arial" w:cs="Arial"/>
          <w:sz w:val="24"/>
          <w:szCs w:val="24"/>
        </w:rPr>
        <w:t>e has repeatedly highlighted our</w:t>
      </w:r>
      <w:r w:rsidR="00832FD2" w:rsidRPr="002166BB">
        <w:rPr>
          <w:rFonts w:ascii="Arial" w:hAnsi="Arial" w:cs="Arial"/>
          <w:sz w:val="24"/>
          <w:szCs w:val="24"/>
        </w:rPr>
        <w:t xml:space="preserve"> low MACR and recommended that it be raised “in accordance with acceptable international standards”.  </w:t>
      </w:r>
      <w:r w:rsidR="007A2ACB" w:rsidRPr="002166BB">
        <w:rPr>
          <w:rFonts w:ascii="Arial" w:hAnsi="Arial" w:cs="Arial"/>
          <w:sz w:val="24"/>
          <w:szCs w:val="24"/>
        </w:rPr>
        <w:t>Furthermore, t</w:t>
      </w:r>
      <w:r w:rsidR="00832FD2" w:rsidRPr="002166BB">
        <w:rPr>
          <w:rFonts w:ascii="Arial" w:hAnsi="Arial" w:cs="Arial"/>
          <w:sz w:val="24"/>
          <w:szCs w:val="24"/>
        </w:rPr>
        <w:t>he Committee’s 2019 report</w:t>
      </w:r>
      <w:r w:rsidR="00832FD2" w:rsidRPr="002166BB">
        <w:rPr>
          <w:rStyle w:val="FootnoteReference"/>
          <w:rFonts w:ascii="Arial" w:hAnsi="Arial" w:cs="Arial"/>
          <w:sz w:val="24"/>
          <w:szCs w:val="24"/>
        </w:rPr>
        <w:footnoteReference w:id="1"/>
      </w:r>
      <w:r w:rsidR="00832FD2" w:rsidRPr="002166BB">
        <w:rPr>
          <w:rFonts w:ascii="Arial" w:hAnsi="Arial" w:cs="Arial"/>
          <w:sz w:val="24"/>
          <w:szCs w:val="24"/>
        </w:rPr>
        <w:t xml:space="preserve"> urged all member states to take account of recent </w:t>
      </w:r>
      <w:r w:rsidR="007A2ACB" w:rsidRPr="002166BB">
        <w:rPr>
          <w:rFonts w:ascii="Arial" w:hAnsi="Arial" w:cs="Arial"/>
          <w:sz w:val="24"/>
          <w:szCs w:val="24"/>
        </w:rPr>
        <w:t xml:space="preserve">scientific evidence and to raise their minimum age accordingly, </w:t>
      </w:r>
      <w:r w:rsidR="007A2ACB" w:rsidRPr="00B27F15">
        <w:rPr>
          <w:rFonts w:ascii="Arial" w:hAnsi="Arial" w:cs="Arial"/>
          <w:sz w:val="24"/>
          <w:szCs w:val="24"/>
          <w:u w:val="single"/>
        </w:rPr>
        <w:t>to at least 14 years</w:t>
      </w:r>
      <w:r w:rsidR="007A2ACB" w:rsidRPr="002166BB">
        <w:rPr>
          <w:rFonts w:ascii="Arial" w:hAnsi="Arial" w:cs="Arial"/>
          <w:sz w:val="24"/>
          <w:szCs w:val="24"/>
        </w:rPr>
        <w:t>.</w:t>
      </w:r>
    </w:p>
    <w:p w14:paraId="6C91E919" w14:textId="77777777" w:rsidR="007A2ACB" w:rsidRPr="002166BB" w:rsidRDefault="007A2ACB" w:rsidP="00C41CBD">
      <w:pPr>
        <w:pStyle w:val="ListParagraph"/>
        <w:spacing w:after="0" w:line="240" w:lineRule="auto"/>
        <w:jc w:val="both"/>
        <w:rPr>
          <w:rFonts w:ascii="Arial" w:hAnsi="Arial" w:cs="Arial"/>
          <w:sz w:val="24"/>
          <w:szCs w:val="24"/>
        </w:rPr>
      </w:pPr>
    </w:p>
    <w:p w14:paraId="34A84F15" w14:textId="77777777" w:rsidR="007A2ACB" w:rsidRPr="002166BB" w:rsidRDefault="007A2ACB" w:rsidP="00927300">
      <w:pPr>
        <w:pStyle w:val="ListParagraph"/>
        <w:spacing w:after="0" w:line="360" w:lineRule="auto"/>
        <w:ind w:left="0"/>
        <w:jc w:val="both"/>
        <w:rPr>
          <w:rFonts w:ascii="Arial" w:hAnsi="Arial" w:cs="Arial"/>
          <w:b/>
          <w:sz w:val="24"/>
          <w:szCs w:val="24"/>
          <w:u w:val="single"/>
        </w:rPr>
      </w:pPr>
      <w:r w:rsidRPr="002166BB">
        <w:rPr>
          <w:rFonts w:ascii="Arial" w:hAnsi="Arial" w:cs="Arial"/>
          <w:b/>
          <w:sz w:val="24"/>
          <w:szCs w:val="24"/>
          <w:u w:val="single"/>
        </w:rPr>
        <w:t>Consideration of MACR in Northern Ireland</w:t>
      </w:r>
    </w:p>
    <w:p w14:paraId="37EE9ACB" w14:textId="77777777" w:rsidR="007A2ACB" w:rsidRPr="002166BB" w:rsidRDefault="007A2ACB" w:rsidP="00C41CBD">
      <w:pPr>
        <w:pStyle w:val="ListParagraph"/>
        <w:spacing w:after="0" w:line="240" w:lineRule="auto"/>
        <w:ind w:left="0"/>
        <w:jc w:val="both"/>
        <w:rPr>
          <w:rFonts w:ascii="Arial" w:hAnsi="Arial" w:cs="Arial"/>
          <w:sz w:val="24"/>
          <w:szCs w:val="24"/>
        </w:rPr>
      </w:pPr>
    </w:p>
    <w:p w14:paraId="57B52022" w14:textId="660D37C0" w:rsidR="007C410D" w:rsidRPr="002166BB" w:rsidRDefault="00B8276A" w:rsidP="00927300">
      <w:pPr>
        <w:pStyle w:val="ListParagraph"/>
        <w:numPr>
          <w:ilvl w:val="0"/>
          <w:numId w:val="1"/>
        </w:numPr>
        <w:spacing w:after="0" w:line="360" w:lineRule="auto"/>
        <w:ind w:left="357" w:hanging="357"/>
        <w:jc w:val="both"/>
        <w:rPr>
          <w:rFonts w:ascii="Arial" w:hAnsi="Arial" w:cs="Arial"/>
          <w:sz w:val="24"/>
          <w:szCs w:val="24"/>
        </w:rPr>
      </w:pPr>
      <w:r w:rsidRPr="002166BB">
        <w:rPr>
          <w:rFonts w:ascii="Arial" w:hAnsi="Arial" w:cs="Arial"/>
          <w:sz w:val="24"/>
          <w:szCs w:val="24"/>
        </w:rPr>
        <w:t>MACR was considered as part of t</w:t>
      </w:r>
      <w:r w:rsidR="007C410D" w:rsidRPr="002166BB">
        <w:rPr>
          <w:rFonts w:ascii="Arial" w:hAnsi="Arial" w:cs="Arial"/>
          <w:sz w:val="24"/>
          <w:szCs w:val="24"/>
        </w:rPr>
        <w:t>wo major examinations of the youth justice system in Northern Ireland</w:t>
      </w:r>
      <w:r w:rsidRPr="002166BB">
        <w:rPr>
          <w:rFonts w:ascii="Arial" w:hAnsi="Arial" w:cs="Arial"/>
          <w:sz w:val="24"/>
          <w:szCs w:val="24"/>
        </w:rPr>
        <w:t xml:space="preserve"> which</w:t>
      </w:r>
      <w:r w:rsidR="007C410D" w:rsidRPr="002166BB">
        <w:rPr>
          <w:rFonts w:ascii="Arial" w:hAnsi="Arial" w:cs="Arial"/>
          <w:sz w:val="24"/>
          <w:szCs w:val="24"/>
        </w:rPr>
        <w:t xml:space="preserve"> were carried out in the previous decade. </w:t>
      </w:r>
      <w:r w:rsidR="00A02B6E" w:rsidRPr="002166BB">
        <w:rPr>
          <w:rFonts w:ascii="Arial" w:hAnsi="Arial" w:cs="Arial"/>
          <w:sz w:val="24"/>
          <w:szCs w:val="24"/>
        </w:rPr>
        <w:t xml:space="preserve"> The first was </w:t>
      </w:r>
      <w:r w:rsidRPr="002166BB">
        <w:rPr>
          <w:rFonts w:ascii="Arial" w:hAnsi="Arial" w:cs="Arial"/>
          <w:sz w:val="24"/>
          <w:szCs w:val="24"/>
        </w:rPr>
        <w:t>undertaken b</w:t>
      </w:r>
      <w:r w:rsidR="00A02B6E" w:rsidRPr="002166BB">
        <w:rPr>
          <w:rFonts w:ascii="Arial" w:hAnsi="Arial" w:cs="Arial"/>
          <w:sz w:val="24"/>
          <w:szCs w:val="24"/>
        </w:rPr>
        <w:t xml:space="preserve">y an independent team of experts in 2010 and became known as the </w:t>
      </w:r>
      <w:r w:rsidR="007C410D" w:rsidRPr="002166BB">
        <w:rPr>
          <w:rFonts w:ascii="Arial" w:hAnsi="Arial" w:cs="Arial"/>
          <w:sz w:val="24"/>
          <w:szCs w:val="24"/>
        </w:rPr>
        <w:t xml:space="preserve">Youth Justice Review (YJR). This review examined how children were processed at all stages of the criminal justice system to ensure </w:t>
      </w:r>
      <w:r w:rsidR="00A02B6E" w:rsidRPr="002166BB">
        <w:rPr>
          <w:rFonts w:ascii="Arial" w:hAnsi="Arial" w:cs="Arial"/>
          <w:sz w:val="24"/>
          <w:szCs w:val="24"/>
        </w:rPr>
        <w:t>that our youth justice system was complying with international obligations and best practice.  In its</w:t>
      </w:r>
      <w:r w:rsidR="007C410D" w:rsidRPr="002166BB">
        <w:rPr>
          <w:rFonts w:ascii="Arial" w:hAnsi="Arial" w:cs="Arial"/>
          <w:sz w:val="24"/>
          <w:szCs w:val="24"/>
        </w:rPr>
        <w:t xml:space="preserve"> report</w:t>
      </w:r>
      <w:r w:rsidR="00A02B6E" w:rsidRPr="002166BB">
        <w:rPr>
          <w:rFonts w:ascii="Arial" w:hAnsi="Arial" w:cs="Arial"/>
          <w:sz w:val="24"/>
          <w:szCs w:val="24"/>
        </w:rPr>
        <w:t>,</w:t>
      </w:r>
      <w:r w:rsidR="007C410D" w:rsidRPr="002166BB">
        <w:rPr>
          <w:rFonts w:ascii="Arial" w:hAnsi="Arial" w:cs="Arial"/>
          <w:sz w:val="24"/>
          <w:szCs w:val="24"/>
        </w:rPr>
        <w:t xml:space="preserve"> published in September 2011, </w:t>
      </w:r>
      <w:r w:rsidR="00A02B6E" w:rsidRPr="002166BB">
        <w:rPr>
          <w:rFonts w:ascii="Arial" w:hAnsi="Arial" w:cs="Arial"/>
          <w:sz w:val="24"/>
          <w:szCs w:val="24"/>
        </w:rPr>
        <w:t>t</w:t>
      </w:r>
      <w:r w:rsidR="007C410D" w:rsidRPr="002166BB">
        <w:rPr>
          <w:rFonts w:ascii="Arial" w:hAnsi="Arial" w:cs="Arial"/>
          <w:sz w:val="24"/>
          <w:szCs w:val="24"/>
        </w:rPr>
        <w:t xml:space="preserve">he Review Team formally recommended that </w:t>
      </w:r>
      <w:r w:rsidR="007C410D" w:rsidRPr="002166BB">
        <w:rPr>
          <w:rFonts w:ascii="Arial" w:hAnsi="Arial" w:cs="Arial"/>
          <w:sz w:val="24"/>
          <w:szCs w:val="24"/>
        </w:rPr>
        <w:lastRenderedPageBreak/>
        <w:t>MACR in Northern Ireland be raised immediately to 12, with consideration given to raising it to 14 subsequent to a review.</w:t>
      </w:r>
    </w:p>
    <w:p w14:paraId="2420B3EB" w14:textId="77777777" w:rsidR="00293C60" w:rsidRPr="002166BB" w:rsidRDefault="00293C60" w:rsidP="00C41CBD">
      <w:pPr>
        <w:pStyle w:val="ListParagraph"/>
        <w:spacing w:after="0" w:line="240" w:lineRule="auto"/>
        <w:ind w:left="357"/>
        <w:jc w:val="both"/>
        <w:rPr>
          <w:rFonts w:ascii="Arial" w:hAnsi="Arial" w:cs="Arial"/>
          <w:sz w:val="24"/>
          <w:szCs w:val="24"/>
        </w:rPr>
      </w:pPr>
    </w:p>
    <w:p w14:paraId="7046C555" w14:textId="008658D7" w:rsidR="00293C60" w:rsidRPr="002166BB" w:rsidRDefault="00293C60" w:rsidP="00927300">
      <w:pPr>
        <w:pStyle w:val="ListParagraph"/>
        <w:numPr>
          <w:ilvl w:val="0"/>
          <w:numId w:val="1"/>
        </w:numPr>
        <w:spacing w:after="0" w:line="360" w:lineRule="auto"/>
        <w:ind w:left="357" w:hanging="357"/>
        <w:jc w:val="both"/>
        <w:rPr>
          <w:rFonts w:ascii="Arial" w:hAnsi="Arial" w:cs="Arial"/>
          <w:sz w:val="24"/>
          <w:szCs w:val="24"/>
        </w:rPr>
      </w:pPr>
      <w:r w:rsidRPr="002166BB">
        <w:rPr>
          <w:rFonts w:ascii="Arial" w:hAnsi="Arial" w:cs="Arial"/>
          <w:sz w:val="24"/>
          <w:szCs w:val="24"/>
        </w:rPr>
        <w:t>The recommendation on MACR was included as part of a wider consultation on all of the YJR recommendations.  The outcome</w:t>
      </w:r>
      <w:r w:rsidR="005D7819" w:rsidRPr="002166BB">
        <w:rPr>
          <w:rFonts w:ascii="Arial" w:hAnsi="Arial" w:cs="Arial"/>
          <w:sz w:val="24"/>
          <w:szCs w:val="24"/>
        </w:rPr>
        <w:t xml:space="preserve"> of this consultation</w:t>
      </w:r>
      <w:r w:rsidRPr="002166BB">
        <w:rPr>
          <w:rFonts w:ascii="Arial" w:hAnsi="Arial" w:cs="Arial"/>
          <w:sz w:val="24"/>
          <w:szCs w:val="24"/>
        </w:rPr>
        <w:t xml:space="preserve"> showed considerable support, particularly from children’s sector organisations, for increasing MACR in Northern Ireland. </w:t>
      </w:r>
    </w:p>
    <w:p w14:paraId="5A9E8FA4" w14:textId="77777777" w:rsidR="00B8276A" w:rsidRPr="002166BB" w:rsidRDefault="00B8276A" w:rsidP="00C41CBD">
      <w:pPr>
        <w:pStyle w:val="ListParagraph"/>
        <w:spacing w:after="0" w:line="240" w:lineRule="auto"/>
        <w:ind w:left="357"/>
        <w:jc w:val="both"/>
        <w:rPr>
          <w:rFonts w:ascii="Arial" w:hAnsi="Arial" w:cs="Arial"/>
          <w:sz w:val="24"/>
          <w:szCs w:val="24"/>
        </w:rPr>
      </w:pPr>
    </w:p>
    <w:p w14:paraId="0FF977DF" w14:textId="7B48243D" w:rsidR="00835220" w:rsidRPr="002166BB" w:rsidRDefault="0010734A" w:rsidP="00927300">
      <w:pPr>
        <w:pStyle w:val="ListParagraph"/>
        <w:numPr>
          <w:ilvl w:val="0"/>
          <w:numId w:val="1"/>
        </w:numPr>
        <w:spacing w:after="0" w:line="360" w:lineRule="auto"/>
        <w:ind w:left="357" w:hanging="357"/>
        <w:jc w:val="both"/>
        <w:rPr>
          <w:rFonts w:ascii="Arial" w:hAnsi="Arial" w:cs="Arial"/>
          <w:sz w:val="24"/>
          <w:szCs w:val="24"/>
        </w:rPr>
      </w:pPr>
      <w:r w:rsidRPr="002166BB">
        <w:rPr>
          <w:rFonts w:ascii="Arial" w:hAnsi="Arial" w:cs="Arial"/>
          <w:sz w:val="24"/>
          <w:szCs w:val="24"/>
        </w:rPr>
        <w:t xml:space="preserve">The issue of MACR was </w:t>
      </w:r>
      <w:r w:rsidR="00184F82" w:rsidRPr="002166BB">
        <w:rPr>
          <w:rFonts w:ascii="Arial" w:hAnsi="Arial" w:cs="Arial"/>
          <w:sz w:val="24"/>
          <w:szCs w:val="24"/>
        </w:rPr>
        <w:t xml:space="preserve">also </w:t>
      </w:r>
      <w:r w:rsidR="00B8276A" w:rsidRPr="002166BB">
        <w:rPr>
          <w:rFonts w:ascii="Arial" w:hAnsi="Arial" w:cs="Arial"/>
          <w:sz w:val="24"/>
          <w:szCs w:val="24"/>
        </w:rPr>
        <w:t>considered as part o</w:t>
      </w:r>
      <w:r w:rsidR="00274829" w:rsidRPr="002166BB">
        <w:rPr>
          <w:rFonts w:ascii="Arial" w:hAnsi="Arial" w:cs="Arial"/>
          <w:sz w:val="24"/>
          <w:szCs w:val="24"/>
        </w:rPr>
        <w:t>f a cross-departmental Scoping S</w:t>
      </w:r>
      <w:r w:rsidR="00B8276A" w:rsidRPr="002166BB">
        <w:rPr>
          <w:rFonts w:ascii="Arial" w:hAnsi="Arial" w:cs="Arial"/>
          <w:sz w:val="24"/>
          <w:szCs w:val="24"/>
        </w:rPr>
        <w:t xml:space="preserve">tudy </w:t>
      </w:r>
      <w:r w:rsidR="005D7819" w:rsidRPr="002166BB">
        <w:rPr>
          <w:rFonts w:ascii="Arial" w:hAnsi="Arial" w:cs="Arial"/>
          <w:sz w:val="24"/>
          <w:szCs w:val="24"/>
        </w:rPr>
        <w:t>in 2015.  This study</w:t>
      </w:r>
      <w:r w:rsidR="00274829" w:rsidRPr="002166BB">
        <w:rPr>
          <w:rFonts w:ascii="Arial" w:hAnsi="Arial" w:cs="Arial"/>
          <w:sz w:val="24"/>
          <w:szCs w:val="24"/>
        </w:rPr>
        <w:t xml:space="preserve"> found in favour of </w:t>
      </w:r>
      <w:r w:rsidR="00274829" w:rsidRPr="002166BB">
        <w:rPr>
          <w:rFonts w:ascii="Arial" w:hAnsi="Arial" w:cs="Arial"/>
          <w:color w:val="000000"/>
          <w:sz w:val="24"/>
          <w:szCs w:val="24"/>
        </w:rPr>
        <w:t>raising MACR to at least 12 on the basis that it would not only deliver on the specific, as yet unmet, YJR recommendation but it would assist Northern Irel</w:t>
      </w:r>
      <w:r w:rsidR="00321210">
        <w:rPr>
          <w:rFonts w:ascii="Arial" w:hAnsi="Arial" w:cs="Arial"/>
          <w:color w:val="000000"/>
          <w:sz w:val="24"/>
          <w:szCs w:val="24"/>
        </w:rPr>
        <w:t xml:space="preserve">and in complying with the UN Committee on the Rights of the Child </w:t>
      </w:r>
      <w:r w:rsidR="00274829" w:rsidRPr="002166BB">
        <w:rPr>
          <w:rFonts w:ascii="Arial" w:hAnsi="Arial" w:cs="Arial"/>
          <w:color w:val="000000"/>
          <w:sz w:val="24"/>
          <w:szCs w:val="24"/>
        </w:rPr>
        <w:t xml:space="preserve">and other international standards.  Furthermore, it would effectively deliver on the </w:t>
      </w:r>
      <w:r w:rsidRPr="002166BB">
        <w:rPr>
          <w:rFonts w:ascii="Arial" w:hAnsi="Arial" w:cs="Arial"/>
          <w:color w:val="000000"/>
          <w:sz w:val="24"/>
          <w:szCs w:val="24"/>
        </w:rPr>
        <w:t xml:space="preserve">Department’s </w:t>
      </w:r>
      <w:r w:rsidR="00274829" w:rsidRPr="002166BB">
        <w:rPr>
          <w:rFonts w:ascii="Arial" w:hAnsi="Arial" w:cs="Arial"/>
          <w:color w:val="000000"/>
          <w:sz w:val="24"/>
          <w:szCs w:val="24"/>
        </w:rPr>
        <w:t xml:space="preserve">overarching aim to improve outcomes for children by keeping them out of </w:t>
      </w:r>
      <w:r w:rsidR="00DB70E9" w:rsidRPr="002166BB">
        <w:rPr>
          <w:rFonts w:ascii="Arial" w:hAnsi="Arial" w:cs="Arial"/>
          <w:color w:val="000000"/>
          <w:sz w:val="24"/>
          <w:szCs w:val="24"/>
        </w:rPr>
        <w:t xml:space="preserve">the </w:t>
      </w:r>
      <w:r w:rsidR="00274829" w:rsidRPr="002166BB">
        <w:rPr>
          <w:rFonts w:ascii="Arial" w:hAnsi="Arial" w:cs="Arial"/>
          <w:color w:val="000000"/>
          <w:sz w:val="24"/>
          <w:szCs w:val="24"/>
        </w:rPr>
        <w:t>justice system for as long as possible</w:t>
      </w:r>
      <w:r w:rsidRPr="002166BB">
        <w:rPr>
          <w:rFonts w:ascii="Arial" w:hAnsi="Arial" w:cs="Arial"/>
          <w:color w:val="000000"/>
          <w:sz w:val="24"/>
          <w:szCs w:val="24"/>
        </w:rPr>
        <w:t xml:space="preserve"> and </w:t>
      </w:r>
      <w:r w:rsidR="00274829" w:rsidRPr="002166BB">
        <w:rPr>
          <w:rFonts w:ascii="Arial" w:hAnsi="Arial" w:cs="Arial"/>
          <w:color w:val="000000"/>
          <w:sz w:val="24"/>
          <w:szCs w:val="24"/>
        </w:rPr>
        <w:t>removing the burden of a criminal record</w:t>
      </w:r>
      <w:r w:rsidRPr="002166BB">
        <w:rPr>
          <w:rFonts w:ascii="Arial" w:hAnsi="Arial" w:cs="Arial"/>
          <w:color w:val="000000"/>
          <w:sz w:val="24"/>
          <w:szCs w:val="24"/>
        </w:rPr>
        <w:t xml:space="preserve"> with </w:t>
      </w:r>
      <w:r w:rsidR="00274829" w:rsidRPr="002166BB">
        <w:rPr>
          <w:rFonts w:ascii="Arial" w:hAnsi="Arial" w:cs="Arial"/>
          <w:color w:val="000000"/>
          <w:sz w:val="24"/>
          <w:szCs w:val="24"/>
        </w:rPr>
        <w:t>the associated stigma of being a ‘young offender’.</w:t>
      </w:r>
    </w:p>
    <w:p w14:paraId="70787210" w14:textId="77777777" w:rsidR="009E3DA0" w:rsidRPr="002166BB" w:rsidRDefault="009E3DA0" w:rsidP="00C41CBD">
      <w:pPr>
        <w:pStyle w:val="ListParagraph"/>
        <w:spacing w:after="0" w:line="240" w:lineRule="auto"/>
        <w:jc w:val="both"/>
        <w:rPr>
          <w:rFonts w:ascii="Arial" w:hAnsi="Arial" w:cs="Arial"/>
          <w:sz w:val="24"/>
          <w:szCs w:val="24"/>
        </w:rPr>
      </w:pPr>
    </w:p>
    <w:p w14:paraId="57BCB7A9" w14:textId="741C984A" w:rsidR="00995FEA" w:rsidRPr="002166BB" w:rsidRDefault="00184F82" w:rsidP="00927300">
      <w:pPr>
        <w:pStyle w:val="ListParagraph"/>
        <w:numPr>
          <w:ilvl w:val="0"/>
          <w:numId w:val="1"/>
        </w:numPr>
        <w:spacing w:after="0" w:line="360" w:lineRule="auto"/>
        <w:ind w:left="357" w:hanging="357"/>
        <w:jc w:val="both"/>
        <w:rPr>
          <w:rFonts w:ascii="Arial" w:hAnsi="Arial" w:cs="Arial"/>
          <w:sz w:val="24"/>
          <w:szCs w:val="24"/>
        </w:rPr>
      </w:pPr>
      <w:r w:rsidRPr="002166BB">
        <w:rPr>
          <w:rFonts w:ascii="Arial" w:hAnsi="Arial" w:cs="Arial"/>
          <w:sz w:val="24"/>
          <w:szCs w:val="24"/>
        </w:rPr>
        <w:t>Whilst</w:t>
      </w:r>
      <w:r w:rsidR="009E3DA0" w:rsidRPr="002166BB">
        <w:rPr>
          <w:rFonts w:ascii="Arial" w:hAnsi="Arial" w:cs="Arial"/>
          <w:sz w:val="24"/>
          <w:szCs w:val="24"/>
        </w:rPr>
        <w:t xml:space="preserve"> efforts have been made</w:t>
      </w:r>
      <w:r w:rsidRPr="002166BB">
        <w:rPr>
          <w:rFonts w:ascii="Arial" w:hAnsi="Arial" w:cs="Arial"/>
          <w:sz w:val="24"/>
          <w:szCs w:val="24"/>
        </w:rPr>
        <w:t xml:space="preserve"> by Justice Ministers, most recently by </w:t>
      </w:r>
      <w:r w:rsidR="009E3DA0" w:rsidRPr="002166BB">
        <w:rPr>
          <w:rFonts w:ascii="Arial" w:hAnsi="Arial" w:cs="Arial"/>
          <w:sz w:val="24"/>
          <w:szCs w:val="24"/>
        </w:rPr>
        <w:t>Minister Long</w:t>
      </w:r>
      <w:r w:rsidRPr="002166BB">
        <w:rPr>
          <w:rFonts w:ascii="Arial" w:hAnsi="Arial" w:cs="Arial"/>
          <w:sz w:val="24"/>
          <w:szCs w:val="24"/>
        </w:rPr>
        <w:t>,</w:t>
      </w:r>
      <w:r w:rsidR="009E3DA0" w:rsidRPr="002166BB">
        <w:rPr>
          <w:rFonts w:ascii="Arial" w:hAnsi="Arial" w:cs="Arial"/>
          <w:sz w:val="24"/>
          <w:szCs w:val="24"/>
        </w:rPr>
        <w:t xml:space="preserve"> to secure cross-Executive </w:t>
      </w:r>
      <w:r w:rsidR="009E3DA0" w:rsidRPr="002166BB">
        <w:rPr>
          <w:rFonts w:ascii="Arial" w:hAnsi="Arial" w:cs="Arial"/>
          <w:sz w:val="24"/>
          <w:szCs w:val="24"/>
        </w:rPr>
        <w:lastRenderedPageBreak/>
        <w:t>agreement to raise the minimum age of criminal responsibility, there has been insufficient support to progress this issue to date.</w:t>
      </w:r>
      <w:r w:rsidRPr="002166BB">
        <w:rPr>
          <w:rFonts w:ascii="Arial" w:hAnsi="Arial" w:cs="Arial"/>
          <w:sz w:val="24"/>
          <w:szCs w:val="24"/>
        </w:rPr>
        <w:t xml:space="preserve">  </w:t>
      </w:r>
      <w:r w:rsidR="00D21515" w:rsidRPr="002166BB">
        <w:rPr>
          <w:rFonts w:ascii="Arial" w:hAnsi="Arial" w:cs="Arial"/>
          <w:sz w:val="24"/>
          <w:szCs w:val="24"/>
        </w:rPr>
        <w:t>The res</w:t>
      </w:r>
      <w:r w:rsidR="001701D8" w:rsidRPr="002166BB">
        <w:rPr>
          <w:rFonts w:ascii="Arial" w:hAnsi="Arial" w:cs="Arial"/>
          <w:sz w:val="24"/>
          <w:szCs w:val="24"/>
        </w:rPr>
        <w:t>ponses to this consultation could,</w:t>
      </w:r>
      <w:r w:rsidR="00D21515" w:rsidRPr="002166BB">
        <w:rPr>
          <w:rFonts w:ascii="Arial" w:hAnsi="Arial" w:cs="Arial"/>
          <w:sz w:val="24"/>
          <w:szCs w:val="24"/>
        </w:rPr>
        <w:t xml:space="preserve"> therefore</w:t>
      </w:r>
      <w:r w:rsidR="001701D8" w:rsidRPr="002166BB">
        <w:rPr>
          <w:rFonts w:ascii="Arial" w:hAnsi="Arial" w:cs="Arial"/>
          <w:sz w:val="24"/>
          <w:szCs w:val="24"/>
        </w:rPr>
        <w:t>,</w:t>
      </w:r>
      <w:r w:rsidR="00D21515" w:rsidRPr="002166BB">
        <w:rPr>
          <w:rFonts w:ascii="Arial" w:hAnsi="Arial" w:cs="Arial"/>
          <w:sz w:val="24"/>
          <w:szCs w:val="24"/>
        </w:rPr>
        <w:t xml:space="preserve"> be </w:t>
      </w:r>
      <w:r w:rsidR="009D54A8" w:rsidRPr="002166BB">
        <w:rPr>
          <w:rFonts w:ascii="Arial" w:hAnsi="Arial" w:cs="Arial"/>
          <w:sz w:val="24"/>
          <w:szCs w:val="24"/>
        </w:rPr>
        <w:t>instrumental</w:t>
      </w:r>
      <w:r w:rsidR="00D21515" w:rsidRPr="002166BB">
        <w:rPr>
          <w:rFonts w:ascii="Arial" w:hAnsi="Arial" w:cs="Arial"/>
          <w:sz w:val="24"/>
          <w:szCs w:val="24"/>
        </w:rPr>
        <w:t xml:space="preserve"> in </w:t>
      </w:r>
      <w:r w:rsidR="001701D8" w:rsidRPr="002166BB">
        <w:rPr>
          <w:rFonts w:ascii="Arial" w:hAnsi="Arial" w:cs="Arial"/>
          <w:sz w:val="24"/>
          <w:szCs w:val="24"/>
        </w:rPr>
        <w:t xml:space="preserve">determining whether </w:t>
      </w:r>
      <w:r w:rsidR="00D21515" w:rsidRPr="002166BB">
        <w:rPr>
          <w:rFonts w:ascii="Arial" w:hAnsi="Arial" w:cs="Arial"/>
          <w:sz w:val="24"/>
          <w:szCs w:val="24"/>
        </w:rPr>
        <w:t xml:space="preserve">the Department </w:t>
      </w:r>
      <w:r w:rsidR="001701D8" w:rsidRPr="002166BB">
        <w:rPr>
          <w:rFonts w:ascii="Arial" w:hAnsi="Arial" w:cs="Arial"/>
          <w:sz w:val="24"/>
          <w:szCs w:val="24"/>
        </w:rPr>
        <w:t xml:space="preserve">has sufficient support </w:t>
      </w:r>
      <w:r w:rsidR="00D21515" w:rsidRPr="002166BB">
        <w:rPr>
          <w:rFonts w:ascii="Arial" w:hAnsi="Arial" w:cs="Arial"/>
          <w:sz w:val="24"/>
          <w:szCs w:val="24"/>
        </w:rPr>
        <w:t>to bring about</w:t>
      </w:r>
      <w:r w:rsidRPr="002166BB">
        <w:rPr>
          <w:rFonts w:ascii="Arial" w:hAnsi="Arial" w:cs="Arial"/>
          <w:sz w:val="24"/>
          <w:szCs w:val="24"/>
        </w:rPr>
        <w:t xml:space="preserve"> a change in the legislation.</w:t>
      </w:r>
    </w:p>
    <w:p w14:paraId="7DDEC54D" w14:textId="77777777" w:rsidR="009E3DA0" w:rsidRPr="002166BB" w:rsidRDefault="009E3DA0" w:rsidP="00C41CBD">
      <w:pPr>
        <w:spacing w:after="0" w:line="240" w:lineRule="auto"/>
        <w:jc w:val="both"/>
        <w:rPr>
          <w:rFonts w:ascii="Arial" w:hAnsi="Arial" w:cs="Arial"/>
          <w:sz w:val="24"/>
          <w:szCs w:val="24"/>
        </w:rPr>
      </w:pPr>
      <w:r w:rsidRPr="002166BB">
        <w:rPr>
          <w:rFonts w:ascii="Arial" w:hAnsi="Arial" w:cs="Arial"/>
          <w:sz w:val="24"/>
          <w:szCs w:val="24"/>
        </w:rPr>
        <w:t xml:space="preserve"> </w:t>
      </w:r>
    </w:p>
    <w:p w14:paraId="6644254A" w14:textId="34C8E3A2" w:rsidR="009E3DA0" w:rsidRPr="002166BB" w:rsidRDefault="009E3DA0" w:rsidP="00927300">
      <w:pPr>
        <w:spacing w:after="0" w:line="360" w:lineRule="auto"/>
        <w:jc w:val="both"/>
        <w:rPr>
          <w:rFonts w:ascii="Arial" w:hAnsi="Arial" w:cs="Arial"/>
          <w:b/>
          <w:sz w:val="24"/>
          <w:szCs w:val="24"/>
          <w:u w:val="single"/>
        </w:rPr>
      </w:pPr>
      <w:r w:rsidRPr="002166BB">
        <w:rPr>
          <w:rFonts w:ascii="Arial" w:hAnsi="Arial" w:cs="Arial"/>
          <w:b/>
          <w:sz w:val="24"/>
          <w:szCs w:val="24"/>
          <w:u w:val="single"/>
        </w:rPr>
        <w:t>Current position in other jurisdictions</w:t>
      </w:r>
    </w:p>
    <w:p w14:paraId="19D182A3" w14:textId="77777777" w:rsidR="00DD2E6E" w:rsidRPr="002166BB" w:rsidRDefault="00DD2E6E" w:rsidP="00C41CBD">
      <w:pPr>
        <w:spacing w:after="0" w:line="240" w:lineRule="auto"/>
        <w:jc w:val="both"/>
        <w:rPr>
          <w:rFonts w:ascii="Arial" w:hAnsi="Arial" w:cs="Arial"/>
          <w:b/>
          <w:sz w:val="24"/>
          <w:szCs w:val="24"/>
          <w:u w:val="single"/>
        </w:rPr>
      </w:pPr>
    </w:p>
    <w:p w14:paraId="5F576DB5" w14:textId="4FA39E30" w:rsidR="009E3DA0" w:rsidRPr="002166BB" w:rsidRDefault="00784816" w:rsidP="00927300">
      <w:pPr>
        <w:pStyle w:val="ListParagraph"/>
        <w:numPr>
          <w:ilvl w:val="0"/>
          <w:numId w:val="1"/>
        </w:numPr>
        <w:spacing w:after="0" w:line="360" w:lineRule="auto"/>
        <w:ind w:left="357" w:hanging="357"/>
        <w:jc w:val="both"/>
        <w:rPr>
          <w:rFonts w:ascii="Arial" w:hAnsi="Arial" w:cs="Arial"/>
          <w:sz w:val="24"/>
          <w:szCs w:val="24"/>
        </w:rPr>
      </w:pPr>
      <w:r w:rsidRPr="002166BB">
        <w:rPr>
          <w:rFonts w:ascii="Arial" w:hAnsi="Arial" w:cs="Arial"/>
          <w:sz w:val="24"/>
          <w:szCs w:val="24"/>
        </w:rPr>
        <w:t>In England</w:t>
      </w:r>
      <w:r w:rsidR="00F52D23" w:rsidRPr="002166BB">
        <w:rPr>
          <w:rFonts w:ascii="Arial" w:hAnsi="Arial" w:cs="Arial"/>
          <w:sz w:val="24"/>
          <w:szCs w:val="24"/>
        </w:rPr>
        <w:t xml:space="preserve"> and Wales, </w:t>
      </w:r>
      <w:r w:rsidR="00636112" w:rsidRPr="002166BB">
        <w:rPr>
          <w:rFonts w:ascii="Arial" w:hAnsi="Arial" w:cs="Arial"/>
          <w:sz w:val="24"/>
          <w:szCs w:val="24"/>
        </w:rPr>
        <w:t xml:space="preserve">as with Northern Ireland, </w:t>
      </w:r>
      <w:r w:rsidR="00F52D23" w:rsidRPr="002166BB">
        <w:rPr>
          <w:rFonts w:ascii="Arial" w:hAnsi="Arial" w:cs="Arial"/>
          <w:sz w:val="24"/>
          <w:szCs w:val="24"/>
        </w:rPr>
        <w:t>the MACR is</w:t>
      </w:r>
      <w:r w:rsidRPr="002166BB">
        <w:rPr>
          <w:rFonts w:ascii="Arial" w:hAnsi="Arial" w:cs="Arial"/>
          <w:sz w:val="24"/>
          <w:szCs w:val="24"/>
        </w:rPr>
        <w:t xml:space="preserve"> 10 years old</w:t>
      </w:r>
      <w:r w:rsidR="00636112" w:rsidRPr="002166BB">
        <w:rPr>
          <w:rFonts w:ascii="Arial" w:hAnsi="Arial" w:cs="Arial"/>
          <w:sz w:val="24"/>
          <w:szCs w:val="24"/>
        </w:rPr>
        <w:t xml:space="preserve">.  The UK government has faced </w:t>
      </w:r>
      <w:r w:rsidR="00F52D23" w:rsidRPr="002166BB">
        <w:rPr>
          <w:rFonts w:ascii="Arial" w:hAnsi="Arial" w:cs="Arial"/>
          <w:sz w:val="24"/>
          <w:szCs w:val="24"/>
        </w:rPr>
        <w:t>pressure from the UN Committee on the Rights of the Child</w:t>
      </w:r>
      <w:r w:rsidR="00636112" w:rsidRPr="002166BB">
        <w:rPr>
          <w:rFonts w:ascii="Arial" w:hAnsi="Arial" w:cs="Arial"/>
          <w:sz w:val="24"/>
          <w:szCs w:val="24"/>
        </w:rPr>
        <w:t xml:space="preserve"> as well as</w:t>
      </w:r>
      <w:r w:rsidR="00F52D23" w:rsidRPr="002166BB">
        <w:rPr>
          <w:rFonts w:ascii="Arial" w:hAnsi="Arial" w:cs="Arial"/>
          <w:sz w:val="24"/>
          <w:szCs w:val="24"/>
        </w:rPr>
        <w:t xml:space="preserve"> other groups representing children’s rights</w:t>
      </w:r>
      <w:r w:rsidR="00636112" w:rsidRPr="002166BB">
        <w:rPr>
          <w:rFonts w:ascii="Arial" w:hAnsi="Arial" w:cs="Arial"/>
          <w:sz w:val="24"/>
          <w:szCs w:val="24"/>
        </w:rPr>
        <w:t xml:space="preserve"> and has also been subje</w:t>
      </w:r>
      <w:r w:rsidR="008A2C58" w:rsidRPr="002166BB">
        <w:rPr>
          <w:rFonts w:ascii="Arial" w:hAnsi="Arial" w:cs="Arial"/>
          <w:sz w:val="24"/>
          <w:szCs w:val="24"/>
        </w:rPr>
        <w:t>ct to a recommendation from a Select Commons Committee in Westminster</w:t>
      </w:r>
      <w:r w:rsidR="00636112" w:rsidRPr="002166BB">
        <w:rPr>
          <w:rFonts w:ascii="Arial" w:hAnsi="Arial" w:cs="Arial"/>
          <w:sz w:val="24"/>
          <w:szCs w:val="24"/>
        </w:rPr>
        <w:t xml:space="preserve"> to review MACR.  Despite this, </w:t>
      </w:r>
      <w:r w:rsidR="00F52D23" w:rsidRPr="002166BB">
        <w:rPr>
          <w:rFonts w:ascii="Arial" w:hAnsi="Arial" w:cs="Arial"/>
          <w:sz w:val="24"/>
          <w:szCs w:val="24"/>
        </w:rPr>
        <w:t xml:space="preserve">there has been no movement in terms of legislating to increase </w:t>
      </w:r>
      <w:r w:rsidR="00636112" w:rsidRPr="002166BB">
        <w:rPr>
          <w:rFonts w:ascii="Arial" w:hAnsi="Arial" w:cs="Arial"/>
          <w:sz w:val="24"/>
          <w:szCs w:val="24"/>
        </w:rPr>
        <w:t>MACR in England or in Wales.</w:t>
      </w:r>
    </w:p>
    <w:p w14:paraId="3818B330" w14:textId="77777777" w:rsidR="00F52D23" w:rsidRPr="002166BB" w:rsidRDefault="00F52D23" w:rsidP="00C41CBD">
      <w:pPr>
        <w:pStyle w:val="ListParagraph"/>
        <w:spacing w:after="0" w:line="240" w:lineRule="auto"/>
        <w:ind w:left="357"/>
        <w:jc w:val="both"/>
        <w:rPr>
          <w:rFonts w:ascii="Arial" w:hAnsi="Arial" w:cs="Arial"/>
          <w:sz w:val="24"/>
          <w:szCs w:val="24"/>
        </w:rPr>
      </w:pPr>
    </w:p>
    <w:p w14:paraId="269F0AA3" w14:textId="77777777" w:rsidR="00636112" w:rsidRPr="002166BB" w:rsidRDefault="00F52D23" w:rsidP="00927300">
      <w:pPr>
        <w:pStyle w:val="ListParagraph"/>
        <w:numPr>
          <w:ilvl w:val="0"/>
          <w:numId w:val="1"/>
        </w:numPr>
        <w:spacing w:after="0" w:line="360" w:lineRule="auto"/>
        <w:ind w:left="357" w:hanging="357"/>
        <w:jc w:val="both"/>
        <w:rPr>
          <w:rFonts w:ascii="Arial" w:hAnsi="Arial" w:cs="Arial"/>
          <w:sz w:val="24"/>
          <w:szCs w:val="24"/>
        </w:rPr>
      </w:pPr>
      <w:r w:rsidRPr="002166BB">
        <w:rPr>
          <w:rFonts w:ascii="Arial" w:hAnsi="Arial" w:cs="Arial"/>
          <w:sz w:val="24"/>
          <w:szCs w:val="24"/>
        </w:rPr>
        <w:t xml:space="preserve">In June 2019, the Age of Criminal Responsibility (Scotland) Act was introduced and fully commenced on 17 December 2021. </w:t>
      </w:r>
      <w:r w:rsidRPr="002166BB">
        <w:rPr>
          <w:rFonts w:ascii="Arial" w:hAnsi="Arial" w:cs="Arial"/>
          <w:color w:val="000000"/>
          <w:sz w:val="24"/>
          <w:szCs w:val="24"/>
        </w:rPr>
        <w:t xml:space="preserve">This Act raised MACR to 12 years, meaning no child in Scotland under the age of 12 </w:t>
      </w:r>
      <w:r w:rsidR="00636112" w:rsidRPr="002166BB">
        <w:rPr>
          <w:rFonts w:ascii="Arial" w:hAnsi="Arial" w:cs="Arial"/>
          <w:color w:val="000000"/>
          <w:sz w:val="24"/>
          <w:szCs w:val="24"/>
        </w:rPr>
        <w:t>can</w:t>
      </w:r>
      <w:r w:rsidRPr="002166BB">
        <w:rPr>
          <w:rFonts w:ascii="Arial" w:hAnsi="Arial" w:cs="Arial"/>
          <w:color w:val="000000"/>
          <w:sz w:val="24"/>
          <w:szCs w:val="24"/>
        </w:rPr>
        <w:t xml:space="preserve"> be found guilty of a criminal act. </w:t>
      </w:r>
      <w:r w:rsidR="00636112" w:rsidRPr="002166BB">
        <w:rPr>
          <w:rFonts w:ascii="Arial" w:hAnsi="Arial" w:cs="Arial"/>
          <w:color w:val="000000"/>
          <w:sz w:val="24"/>
          <w:szCs w:val="24"/>
        </w:rPr>
        <w:t xml:space="preserve">Children under this age who display risk-taking or offending behaviours will instead be </w:t>
      </w:r>
      <w:r w:rsidR="00636112" w:rsidRPr="002166BB">
        <w:rPr>
          <w:rFonts w:ascii="Arial" w:hAnsi="Arial" w:cs="Arial"/>
          <w:color w:val="000000"/>
          <w:sz w:val="24"/>
          <w:szCs w:val="24"/>
        </w:rPr>
        <w:lastRenderedPageBreak/>
        <w:t>dealt with through the welfare-orientated Children’s Hearing System.</w:t>
      </w:r>
    </w:p>
    <w:p w14:paraId="3E67CCA8" w14:textId="77777777" w:rsidR="00636112" w:rsidRPr="002166BB" w:rsidRDefault="00636112" w:rsidP="00C41CBD">
      <w:pPr>
        <w:pStyle w:val="ListParagraph"/>
        <w:spacing w:after="0" w:line="240" w:lineRule="auto"/>
        <w:jc w:val="both"/>
        <w:rPr>
          <w:rFonts w:ascii="Arial" w:hAnsi="Arial" w:cs="Arial"/>
          <w:color w:val="000000"/>
          <w:sz w:val="24"/>
          <w:szCs w:val="24"/>
        </w:rPr>
      </w:pPr>
    </w:p>
    <w:p w14:paraId="2F2320C6" w14:textId="19CDE5C0" w:rsidR="00EA03FA" w:rsidRPr="002166BB" w:rsidRDefault="00F52D23" w:rsidP="00927300">
      <w:pPr>
        <w:pStyle w:val="ListParagraph"/>
        <w:numPr>
          <w:ilvl w:val="0"/>
          <w:numId w:val="1"/>
        </w:numPr>
        <w:spacing w:after="0" w:line="360" w:lineRule="auto"/>
        <w:ind w:left="357" w:hanging="357"/>
        <w:jc w:val="both"/>
        <w:rPr>
          <w:rFonts w:ascii="Arial" w:hAnsi="Arial" w:cs="Arial"/>
          <w:color w:val="000000"/>
          <w:sz w:val="24"/>
          <w:szCs w:val="24"/>
          <w:u w:val="single"/>
        </w:rPr>
      </w:pPr>
      <w:r w:rsidRPr="002166BB">
        <w:rPr>
          <w:rFonts w:ascii="Arial" w:hAnsi="Arial" w:cs="Arial"/>
          <w:color w:val="000000"/>
          <w:sz w:val="24"/>
          <w:szCs w:val="24"/>
        </w:rPr>
        <w:t xml:space="preserve">In exceptional circumstances, appropriate safeguards and powers are in place for Police </w:t>
      </w:r>
      <w:r w:rsidR="00EA03FA" w:rsidRPr="002166BB">
        <w:rPr>
          <w:rFonts w:ascii="Arial" w:hAnsi="Arial" w:cs="Arial"/>
          <w:color w:val="000000"/>
          <w:sz w:val="24"/>
          <w:szCs w:val="24"/>
        </w:rPr>
        <w:t xml:space="preserve">Scotland </w:t>
      </w:r>
      <w:r w:rsidRPr="002166BB">
        <w:rPr>
          <w:rFonts w:ascii="Arial" w:hAnsi="Arial" w:cs="Arial"/>
          <w:color w:val="000000"/>
          <w:sz w:val="24"/>
          <w:szCs w:val="24"/>
        </w:rPr>
        <w:t xml:space="preserve">to investigate harmful behaviour in children under 12.  The Scottish </w:t>
      </w:r>
      <w:r w:rsidR="001014C7" w:rsidRPr="002166BB">
        <w:rPr>
          <w:rFonts w:ascii="Arial" w:hAnsi="Arial" w:cs="Arial"/>
          <w:color w:val="000000"/>
          <w:sz w:val="24"/>
          <w:szCs w:val="24"/>
        </w:rPr>
        <w:t>G</w:t>
      </w:r>
      <w:r w:rsidRPr="002166BB">
        <w:rPr>
          <w:rFonts w:ascii="Arial" w:hAnsi="Arial" w:cs="Arial"/>
          <w:color w:val="000000"/>
          <w:sz w:val="24"/>
          <w:szCs w:val="24"/>
        </w:rPr>
        <w:t xml:space="preserve">overnment has included a provision </w:t>
      </w:r>
      <w:r w:rsidR="009954E4" w:rsidRPr="002166BB">
        <w:rPr>
          <w:rFonts w:ascii="Arial" w:hAnsi="Arial" w:cs="Arial"/>
          <w:color w:val="000000"/>
          <w:sz w:val="24"/>
          <w:szCs w:val="24"/>
        </w:rPr>
        <w:t>requiring</w:t>
      </w:r>
      <w:r w:rsidRPr="002166BB">
        <w:rPr>
          <w:rFonts w:ascii="Arial" w:hAnsi="Arial" w:cs="Arial"/>
          <w:color w:val="000000"/>
          <w:sz w:val="24"/>
          <w:szCs w:val="24"/>
        </w:rPr>
        <w:t xml:space="preserve"> MACR to be reviewed </w:t>
      </w:r>
      <w:r w:rsidR="009954E4" w:rsidRPr="002166BB">
        <w:rPr>
          <w:rFonts w:ascii="Arial" w:hAnsi="Arial" w:cs="Arial"/>
          <w:color w:val="000000"/>
          <w:sz w:val="24"/>
          <w:szCs w:val="24"/>
        </w:rPr>
        <w:t>three years after the age increase has been introduced.</w:t>
      </w:r>
      <w:r w:rsidRPr="002166BB">
        <w:rPr>
          <w:rFonts w:ascii="Arial" w:hAnsi="Arial" w:cs="Arial"/>
          <w:color w:val="000000"/>
          <w:sz w:val="24"/>
          <w:szCs w:val="24"/>
        </w:rPr>
        <w:t xml:space="preserve"> </w:t>
      </w:r>
      <w:r w:rsidR="00EA03FA" w:rsidRPr="002166BB">
        <w:rPr>
          <w:rFonts w:ascii="Arial" w:hAnsi="Arial" w:cs="Arial"/>
          <w:color w:val="000000"/>
          <w:sz w:val="24"/>
          <w:szCs w:val="24"/>
        </w:rPr>
        <w:t xml:space="preserve"> Given that the new legislation has been in place for less than a year, it </w:t>
      </w:r>
      <w:r w:rsidRPr="002166BB">
        <w:rPr>
          <w:rFonts w:ascii="Arial" w:hAnsi="Arial" w:cs="Arial"/>
          <w:color w:val="000000"/>
          <w:sz w:val="24"/>
          <w:szCs w:val="24"/>
        </w:rPr>
        <w:t xml:space="preserve">is too early </w:t>
      </w:r>
      <w:r w:rsidR="009954E4" w:rsidRPr="002166BB">
        <w:rPr>
          <w:rFonts w:ascii="Arial" w:hAnsi="Arial" w:cs="Arial"/>
          <w:color w:val="000000"/>
          <w:sz w:val="24"/>
          <w:szCs w:val="24"/>
        </w:rPr>
        <w:t>to evaluate its impact on the youth justice system.</w:t>
      </w:r>
    </w:p>
    <w:p w14:paraId="71AD1A4D" w14:textId="77777777" w:rsidR="00EA03FA" w:rsidRPr="002166BB" w:rsidRDefault="00EA03FA" w:rsidP="00C41CBD">
      <w:pPr>
        <w:pStyle w:val="ListParagraph"/>
        <w:spacing w:after="0" w:line="240" w:lineRule="auto"/>
        <w:jc w:val="both"/>
        <w:rPr>
          <w:rFonts w:ascii="Arial" w:hAnsi="Arial" w:cs="Arial"/>
          <w:color w:val="000000"/>
          <w:sz w:val="24"/>
          <w:szCs w:val="24"/>
        </w:rPr>
      </w:pPr>
    </w:p>
    <w:p w14:paraId="18D6FC07" w14:textId="39F18F5C" w:rsidR="00EA03FA" w:rsidRPr="002166BB" w:rsidRDefault="00F52D23" w:rsidP="00927300">
      <w:pPr>
        <w:pStyle w:val="ListParagraph"/>
        <w:numPr>
          <w:ilvl w:val="0"/>
          <w:numId w:val="1"/>
        </w:numPr>
        <w:spacing w:after="0" w:line="360" w:lineRule="auto"/>
        <w:ind w:left="357" w:hanging="357"/>
        <w:jc w:val="both"/>
        <w:rPr>
          <w:rFonts w:ascii="Arial" w:hAnsi="Arial" w:cs="Arial"/>
          <w:color w:val="000000"/>
          <w:sz w:val="24"/>
          <w:szCs w:val="24"/>
          <w:u w:val="single"/>
        </w:rPr>
      </w:pPr>
      <w:r w:rsidRPr="002166BB">
        <w:rPr>
          <w:rFonts w:ascii="Arial" w:hAnsi="Arial" w:cs="Arial"/>
          <w:color w:val="000000"/>
          <w:sz w:val="24"/>
          <w:szCs w:val="24"/>
        </w:rPr>
        <w:t xml:space="preserve">Ireland has also seen an increase in MACR from </w:t>
      </w:r>
      <w:r w:rsidR="0005204D" w:rsidRPr="002166BB">
        <w:rPr>
          <w:rFonts w:ascii="Arial" w:hAnsi="Arial" w:cs="Arial"/>
          <w:color w:val="000000"/>
          <w:sz w:val="24"/>
          <w:szCs w:val="24"/>
        </w:rPr>
        <w:t>7</w:t>
      </w:r>
      <w:r w:rsidRPr="002166BB">
        <w:rPr>
          <w:rFonts w:ascii="Arial" w:hAnsi="Arial" w:cs="Arial"/>
          <w:color w:val="000000"/>
          <w:sz w:val="24"/>
          <w:szCs w:val="24"/>
        </w:rPr>
        <w:t xml:space="preserve"> to 12 following the commencement of their children’s legislation enacted in 2006.  Provision has been made for exceptional cases, with criminal responsibility for the most serious offences being set at 10 years of age.</w:t>
      </w:r>
    </w:p>
    <w:p w14:paraId="0A8F5C5B" w14:textId="77777777" w:rsidR="00EA03FA" w:rsidRPr="002166BB" w:rsidRDefault="00EA03FA" w:rsidP="00C41CBD">
      <w:pPr>
        <w:pStyle w:val="ListParagraph"/>
        <w:spacing w:after="0" w:line="240" w:lineRule="auto"/>
        <w:ind w:left="357" w:hanging="357"/>
        <w:jc w:val="both"/>
        <w:rPr>
          <w:rFonts w:ascii="Arial" w:hAnsi="Arial" w:cs="Arial"/>
          <w:color w:val="000000"/>
          <w:sz w:val="24"/>
          <w:szCs w:val="24"/>
        </w:rPr>
      </w:pPr>
    </w:p>
    <w:p w14:paraId="38D6D14C" w14:textId="600BC6D3" w:rsidR="00F52D23" w:rsidRPr="002166BB" w:rsidRDefault="00F52D23" w:rsidP="00927300">
      <w:pPr>
        <w:pStyle w:val="ListParagraph"/>
        <w:numPr>
          <w:ilvl w:val="0"/>
          <w:numId w:val="1"/>
        </w:numPr>
        <w:spacing w:after="0" w:line="360" w:lineRule="auto"/>
        <w:ind w:left="357" w:hanging="357"/>
        <w:jc w:val="both"/>
        <w:rPr>
          <w:rFonts w:ascii="Arial" w:hAnsi="Arial" w:cs="Arial"/>
          <w:color w:val="000000"/>
          <w:sz w:val="24"/>
          <w:szCs w:val="24"/>
          <w:u w:val="single"/>
        </w:rPr>
      </w:pPr>
      <w:r w:rsidRPr="002166BB">
        <w:rPr>
          <w:rFonts w:ascii="Arial" w:hAnsi="Arial" w:cs="Arial"/>
          <w:color w:val="000000"/>
          <w:sz w:val="24"/>
          <w:szCs w:val="24"/>
        </w:rPr>
        <w:t xml:space="preserve">Even greater variance in MACR is evident across Europe where children are </w:t>
      </w:r>
      <w:r w:rsidR="00BB56C0" w:rsidRPr="002166BB">
        <w:rPr>
          <w:rFonts w:ascii="Arial" w:hAnsi="Arial" w:cs="Arial"/>
          <w:color w:val="000000"/>
          <w:sz w:val="24"/>
          <w:szCs w:val="24"/>
        </w:rPr>
        <w:t>not held criminally liable until</w:t>
      </w:r>
      <w:r w:rsidRPr="002166BB">
        <w:rPr>
          <w:rFonts w:ascii="Arial" w:hAnsi="Arial" w:cs="Arial"/>
          <w:color w:val="000000"/>
          <w:sz w:val="24"/>
          <w:szCs w:val="24"/>
        </w:rPr>
        <w:t xml:space="preserve"> the age of 14 years (Germany, Italy, and Spain), 15 years (Denmark, Sweden, Norway, and Finland), or 18 years (Belgium and Luxembourg). </w:t>
      </w:r>
      <w:r w:rsidR="00B15F59" w:rsidRPr="002166BB">
        <w:rPr>
          <w:rFonts w:ascii="Arial" w:hAnsi="Arial" w:cs="Arial"/>
          <w:color w:val="000000"/>
          <w:sz w:val="24"/>
          <w:szCs w:val="24"/>
        </w:rPr>
        <w:t xml:space="preserve"> The only other European country which has a MACR as low as 10, outside the UK, is Switzerland.</w:t>
      </w:r>
      <w:r w:rsidR="00293C60" w:rsidRPr="002166BB">
        <w:rPr>
          <w:rFonts w:ascii="Arial" w:hAnsi="Arial" w:cs="Arial"/>
          <w:color w:val="000000"/>
          <w:sz w:val="24"/>
          <w:szCs w:val="24"/>
        </w:rPr>
        <w:t xml:space="preserve"> Details of the current MACR in each European country can be found at </w:t>
      </w:r>
      <w:r w:rsidR="0044269C" w:rsidRPr="002166BB">
        <w:rPr>
          <w:rFonts w:ascii="Arial" w:hAnsi="Arial" w:cs="Arial"/>
          <w:b/>
          <w:color w:val="000000"/>
          <w:sz w:val="24"/>
          <w:szCs w:val="24"/>
        </w:rPr>
        <w:t>Annex A</w:t>
      </w:r>
      <w:r w:rsidR="00293C60" w:rsidRPr="002166BB">
        <w:rPr>
          <w:rFonts w:ascii="Arial" w:hAnsi="Arial" w:cs="Arial"/>
          <w:color w:val="000000"/>
          <w:sz w:val="24"/>
          <w:szCs w:val="24"/>
        </w:rPr>
        <w:t>.</w:t>
      </w:r>
    </w:p>
    <w:p w14:paraId="242819F7" w14:textId="77777777" w:rsidR="00995FEA" w:rsidRPr="002166BB" w:rsidRDefault="00995FEA" w:rsidP="00C41CBD">
      <w:pPr>
        <w:spacing w:after="0" w:line="240" w:lineRule="auto"/>
        <w:jc w:val="both"/>
        <w:rPr>
          <w:rFonts w:ascii="Arial" w:hAnsi="Arial" w:cs="Arial"/>
          <w:b/>
          <w:color w:val="000000"/>
          <w:sz w:val="24"/>
          <w:szCs w:val="24"/>
          <w:u w:val="single"/>
        </w:rPr>
      </w:pPr>
    </w:p>
    <w:p w14:paraId="3178EBE7" w14:textId="158D7751" w:rsidR="00344134" w:rsidRPr="002166BB" w:rsidRDefault="00344134" w:rsidP="00927300">
      <w:pPr>
        <w:spacing w:after="0" w:line="360" w:lineRule="auto"/>
        <w:jc w:val="both"/>
        <w:rPr>
          <w:rFonts w:ascii="Arial" w:hAnsi="Arial" w:cs="Arial"/>
          <w:b/>
          <w:color w:val="000000"/>
          <w:sz w:val="24"/>
          <w:szCs w:val="24"/>
          <w:u w:val="single"/>
        </w:rPr>
      </w:pPr>
      <w:r w:rsidRPr="002166BB">
        <w:rPr>
          <w:rFonts w:ascii="Arial" w:hAnsi="Arial" w:cs="Arial"/>
          <w:b/>
          <w:color w:val="000000"/>
          <w:sz w:val="24"/>
          <w:szCs w:val="24"/>
          <w:u w:val="single"/>
        </w:rPr>
        <w:t>Youth Offending in Northern Ireland</w:t>
      </w:r>
    </w:p>
    <w:p w14:paraId="6F271891" w14:textId="77777777" w:rsidR="00DD2E6E" w:rsidRPr="002166BB" w:rsidRDefault="00DD2E6E" w:rsidP="00C41CBD">
      <w:pPr>
        <w:spacing w:after="0" w:line="240" w:lineRule="auto"/>
        <w:jc w:val="both"/>
        <w:rPr>
          <w:rFonts w:ascii="Arial" w:hAnsi="Arial" w:cs="Arial"/>
          <w:b/>
          <w:color w:val="000000"/>
          <w:sz w:val="24"/>
          <w:szCs w:val="24"/>
          <w:u w:val="single"/>
        </w:rPr>
      </w:pPr>
    </w:p>
    <w:p w14:paraId="11FC3A91" w14:textId="77777777" w:rsidR="00DD2E6E" w:rsidRPr="002166BB" w:rsidRDefault="00344134" w:rsidP="00927300">
      <w:pPr>
        <w:pStyle w:val="ListParagraph"/>
        <w:numPr>
          <w:ilvl w:val="0"/>
          <w:numId w:val="1"/>
        </w:numPr>
        <w:spacing w:after="0" w:line="360" w:lineRule="auto"/>
        <w:ind w:left="357" w:hanging="357"/>
        <w:jc w:val="both"/>
        <w:rPr>
          <w:rFonts w:ascii="Arial" w:hAnsi="Arial" w:cs="Arial"/>
          <w:color w:val="000000"/>
          <w:sz w:val="24"/>
          <w:szCs w:val="24"/>
          <w:u w:val="single"/>
        </w:rPr>
      </w:pPr>
      <w:r w:rsidRPr="002166BB">
        <w:rPr>
          <w:rFonts w:ascii="Arial" w:hAnsi="Arial" w:cs="Arial"/>
          <w:color w:val="000000"/>
          <w:sz w:val="24"/>
          <w:szCs w:val="24"/>
        </w:rPr>
        <w:t xml:space="preserve">Changes in youth justice policies and operational practices in recent years have seen a significant reduction in the overall number of children entering the formal youth justice system, including prosecutions at court. </w:t>
      </w:r>
      <w:r w:rsidR="00293C60" w:rsidRPr="002166BB">
        <w:rPr>
          <w:rFonts w:ascii="Arial" w:hAnsi="Arial" w:cs="Arial"/>
          <w:color w:val="000000"/>
          <w:sz w:val="24"/>
          <w:szCs w:val="24"/>
        </w:rPr>
        <w:t xml:space="preserve">To provide context, </w:t>
      </w:r>
      <w:r w:rsidR="00DD2E6E" w:rsidRPr="002166BB">
        <w:rPr>
          <w:rFonts w:ascii="Arial" w:hAnsi="Arial" w:cs="Arial"/>
          <w:color w:val="000000"/>
          <w:sz w:val="24"/>
          <w:szCs w:val="24"/>
        </w:rPr>
        <w:t xml:space="preserve">five out of every one thousand children in Northern Ireland will have some level of involvement with the Youth Justice Agency and less than one in one thousand will be held in youth custody.  </w:t>
      </w:r>
    </w:p>
    <w:p w14:paraId="2E00B2A3" w14:textId="77777777" w:rsidR="00DD2E6E" w:rsidRPr="002166BB" w:rsidRDefault="00DD2E6E" w:rsidP="00C41CBD">
      <w:pPr>
        <w:pStyle w:val="ListParagraph"/>
        <w:spacing w:after="0" w:line="240" w:lineRule="auto"/>
        <w:ind w:left="357"/>
        <w:jc w:val="both"/>
        <w:rPr>
          <w:rFonts w:ascii="Arial" w:hAnsi="Arial" w:cs="Arial"/>
          <w:color w:val="000000"/>
          <w:sz w:val="24"/>
          <w:szCs w:val="24"/>
          <w:u w:val="single"/>
        </w:rPr>
      </w:pPr>
    </w:p>
    <w:p w14:paraId="06FEC83A" w14:textId="43546808" w:rsidR="00344134" w:rsidRPr="002166BB" w:rsidRDefault="00344134" w:rsidP="00927300">
      <w:pPr>
        <w:pStyle w:val="ListParagraph"/>
        <w:numPr>
          <w:ilvl w:val="0"/>
          <w:numId w:val="1"/>
        </w:numPr>
        <w:spacing w:after="0" w:line="360" w:lineRule="auto"/>
        <w:ind w:left="357" w:hanging="357"/>
        <w:jc w:val="both"/>
        <w:rPr>
          <w:rFonts w:ascii="Arial" w:hAnsi="Arial" w:cs="Arial"/>
          <w:color w:val="000000"/>
          <w:sz w:val="24"/>
          <w:szCs w:val="24"/>
          <w:u w:val="single"/>
        </w:rPr>
      </w:pPr>
      <w:r w:rsidRPr="002166BB">
        <w:rPr>
          <w:rFonts w:ascii="Arial" w:hAnsi="Arial" w:cs="Arial"/>
          <w:color w:val="000000"/>
          <w:sz w:val="24"/>
          <w:szCs w:val="24"/>
        </w:rPr>
        <w:t xml:space="preserve">The table in </w:t>
      </w:r>
      <w:r w:rsidR="0044269C" w:rsidRPr="002166BB">
        <w:rPr>
          <w:rFonts w:ascii="Arial" w:hAnsi="Arial" w:cs="Arial"/>
          <w:b/>
          <w:color w:val="000000"/>
          <w:sz w:val="24"/>
          <w:szCs w:val="24"/>
        </w:rPr>
        <w:t>Annex B</w:t>
      </w:r>
      <w:r w:rsidRPr="002166BB">
        <w:rPr>
          <w:rFonts w:ascii="Arial" w:hAnsi="Arial" w:cs="Arial"/>
          <w:color w:val="000000"/>
          <w:sz w:val="24"/>
          <w:szCs w:val="24"/>
        </w:rPr>
        <w:t xml:space="preserve"> provides a breakdown of all court prosecutions and out of court (diversionary) disposals for children, by age, for the</w:t>
      </w:r>
      <w:r w:rsidR="00C016C6" w:rsidRPr="002166BB">
        <w:rPr>
          <w:rFonts w:ascii="Arial" w:hAnsi="Arial" w:cs="Arial"/>
          <w:color w:val="000000"/>
          <w:sz w:val="24"/>
          <w:szCs w:val="24"/>
        </w:rPr>
        <w:t xml:space="preserve"> years </w:t>
      </w:r>
      <w:r w:rsidRPr="002166BB">
        <w:rPr>
          <w:rFonts w:ascii="Arial" w:hAnsi="Arial" w:cs="Arial"/>
          <w:color w:val="000000"/>
          <w:sz w:val="24"/>
          <w:szCs w:val="24"/>
        </w:rPr>
        <w:t xml:space="preserve">2011-2021. </w:t>
      </w:r>
      <w:r w:rsidR="00C016C6" w:rsidRPr="002166BB">
        <w:rPr>
          <w:rFonts w:ascii="Arial" w:hAnsi="Arial" w:cs="Arial"/>
          <w:color w:val="000000"/>
          <w:sz w:val="24"/>
          <w:szCs w:val="24"/>
        </w:rPr>
        <w:t xml:space="preserve"> From this, we can see that the number of children entering the formal system more than halved during this period, going from 5,764 in 2011 to 2,382 in 2021.</w:t>
      </w:r>
    </w:p>
    <w:p w14:paraId="7753FB3C" w14:textId="77777777" w:rsidR="00344134" w:rsidRPr="002166BB" w:rsidRDefault="00344134" w:rsidP="00C41CBD">
      <w:pPr>
        <w:pStyle w:val="ListParagraph"/>
        <w:spacing w:after="0" w:line="240" w:lineRule="auto"/>
        <w:ind w:left="357"/>
        <w:jc w:val="both"/>
        <w:rPr>
          <w:rFonts w:ascii="Arial" w:hAnsi="Arial" w:cs="Arial"/>
          <w:color w:val="000000"/>
          <w:sz w:val="24"/>
          <w:szCs w:val="24"/>
          <w:u w:val="single"/>
        </w:rPr>
      </w:pPr>
    </w:p>
    <w:p w14:paraId="6BDA2667" w14:textId="77777777" w:rsidR="00BA2853" w:rsidRPr="002166BB" w:rsidRDefault="00344134" w:rsidP="00927300">
      <w:pPr>
        <w:pStyle w:val="ListParagraph"/>
        <w:numPr>
          <w:ilvl w:val="0"/>
          <w:numId w:val="1"/>
        </w:numPr>
        <w:spacing w:after="0" w:line="360" w:lineRule="auto"/>
        <w:ind w:left="357" w:hanging="357"/>
        <w:jc w:val="both"/>
        <w:rPr>
          <w:rFonts w:ascii="Arial" w:hAnsi="Arial" w:cs="Arial"/>
          <w:color w:val="000000"/>
          <w:sz w:val="24"/>
          <w:szCs w:val="24"/>
          <w:u w:val="single"/>
        </w:rPr>
      </w:pPr>
      <w:r w:rsidRPr="002166BB">
        <w:rPr>
          <w:rFonts w:ascii="Arial" w:hAnsi="Arial" w:cs="Arial"/>
          <w:color w:val="000000"/>
          <w:sz w:val="24"/>
          <w:szCs w:val="24"/>
        </w:rPr>
        <w:t xml:space="preserve">The information in this table </w:t>
      </w:r>
      <w:r w:rsidR="00C016C6" w:rsidRPr="002166BB">
        <w:rPr>
          <w:rFonts w:ascii="Arial" w:hAnsi="Arial" w:cs="Arial"/>
          <w:color w:val="000000"/>
          <w:sz w:val="24"/>
          <w:szCs w:val="24"/>
        </w:rPr>
        <w:t>allows us to</w:t>
      </w:r>
      <w:r w:rsidRPr="002166BB">
        <w:rPr>
          <w:rFonts w:ascii="Arial" w:hAnsi="Arial" w:cs="Arial"/>
          <w:color w:val="000000"/>
          <w:sz w:val="24"/>
          <w:szCs w:val="24"/>
        </w:rPr>
        <w:t xml:space="preserve"> assess the potential impact of an increase in MACR to various age points</w:t>
      </w:r>
      <w:r w:rsidR="00C016C6" w:rsidRPr="002166BB">
        <w:rPr>
          <w:rFonts w:ascii="Arial" w:hAnsi="Arial" w:cs="Arial"/>
          <w:color w:val="000000"/>
          <w:sz w:val="24"/>
          <w:szCs w:val="24"/>
        </w:rPr>
        <w:t>, including the proposed new age of 14 years.  It does this</w:t>
      </w:r>
      <w:r w:rsidRPr="002166BB">
        <w:rPr>
          <w:rFonts w:ascii="Arial" w:hAnsi="Arial" w:cs="Arial"/>
          <w:color w:val="000000"/>
          <w:sz w:val="24"/>
          <w:szCs w:val="24"/>
        </w:rPr>
        <w:t xml:space="preserve"> by providing an indication of the number of children it would impact.  Across all age groups, but in particular for younger children, the current </w:t>
      </w:r>
      <w:r w:rsidR="00C016C6" w:rsidRPr="002166BB">
        <w:rPr>
          <w:rFonts w:ascii="Arial" w:hAnsi="Arial" w:cs="Arial"/>
          <w:color w:val="000000"/>
          <w:sz w:val="24"/>
          <w:szCs w:val="24"/>
        </w:rPr>
        <w:t xml:space="preserve">policy is very much </w:t>
      </w:r>
      <w:r w:rsidR="00C016C6" w:rsidRPr="002166BB">
        <w:rPr>
          <w:rFonts w:ascii="Arial" w:hAnsi="Arial" w:cs="Arial"/>
          <w:color w:val="000000"/>
          <w:sz w:val="24"/>
          <w:szCs w:val="24"/>
        </w:rPr>
        <w:lastRenderedPageBreak/>
        <w:t>focused on</w:t>
      </w:r>
      <w:r w:rsidRPr="002166BB">
        <w:rPr>
          <w:rFonts w:ascii="Arial" w:hAnsi="Arial" w:cs="Arial"/>
          <w:color w:val="000000"/>
          <w:sz w:val="24"/>
          <w:szCs w:val="24"/>
        </w:rPr>
        <w:t xml:space="preserve"> diver</w:t>
      </w:r>
      <w:r w:rsidR="00C016C6" w:rsidRPr="002166BB">
        <w:rPr>
          <w:rFonts w:ascii="Arial" w:hAnsi="Arial" w:cs="Arial"/>
          <w:color w:val="000000"/>
          <w:sz w:val="24"/>
          <w:szCs w:val="24"/>
        </w:rPr>
        <w:t>ting young people</w:t>
      </w:r>
      <w:r w:rsidRPr="002166BB">
        <w:rPr>
          <w:rFonts w:ascii="Arial" w:hAnsi="Arial" w:cs="Arial"/>
          <w:color w:val="000000"/>
          <w:sz w:val="24"/>
          <w:szCs w:val="24"/>
        </w:rPr>
        <w:t xml:space="preserve"> from formal prosecution where</w:t>
      </w:r>
      <w:r w:rsidR="00C016C6" w:rsidRPr="002166BB">
        <w:rPr>
          <w:rFonts w:ascii="Arial" w:hAnsi="Arial" w:cs="Arial"/>
          <w:color w:val="000000"/>
          <w:sz w:val="24"/>
          <w:szCs w:val="24"/>
        </w:rPr>
        <w:t>ver</w:t>
      </w:r>
      <w:r w:rsidR="00B153FE" w:rsidRPr="002166BB">
        <w:rPr>
          <w:rFonts w:ascii="Arial" w:hAnsi="Arial" w:cs="Arial"/>
          <w:color w:val="000000"/>
          <w:sz w:val="24"/>
          <w:szCs w:val="24"/>
        </w:rPr>
        <w:t xml:space="preserve"> possible and this is reflected in the data.</w:t>
      </w:r>
    </w:p>
    <w:p w14:paraId="2B003621" w14:textId="77777777" w:rsidR="00BA2853" w:rsidRPr="002166BB" w:rsidRDefault="00BA2853" w:rsidP="00C41CBD">
      <w:pPr>
        <w:pStyle w:val="ListParagraph"/>
        <w:spacing w:after="0" w:line="240" w:lineRule="auto"/>
        <w:ind w:left="510"/>
        <w:jc w:val="both"/>
        <w:rPr>
          <w:rFonts w:ascii="Arial" w:hAnsi="Arial" w:cs="Arial"/>
          <w:color w:val="000000"/>
          <w:sz w:val="24"/>
          <w:szCs w:val="24"/>
        </w:rPr>
      </w:pPr>
    </w:p>
    <w:p w14:paraId="42295B71" w14:textId="77777777" w:rsidR="00BA2853" w:rsidRPr="002166BB" w:rsidRDefault="00B153FE" w:rsidP="00927300">
      <w:pPr>
        <w:pStyle w:val="ListParagraph"/>
        <w:numPr>
          <w:ilvl w:val="0"/>
          <w:numId w:val="1"/>
        </w:numPr>
        <w:spacing w:after="0" w:line="360" w:lineRule="auto"/>
        <w:ind w:left="357" w:hanging="357"/>
        <w:jc w:val="both"/>
        <w:rPr>
          <w:rFonts w:ascii="Arial" w:hAnsi="Arial" w:cs="Arial"/>
          <w:color w:val="000000"/>
          <w:sz w:val="24"/>
          <w:szCs w:val="24"/>
          <w:u w:val="single"/>
        </w:rPr>
      </w:pPr>
      <w:r w:rsidRPr="002166BB">
        <w:rPr>
          <w:rFonts w:ascii="Arial" w:hAnsi="Arial" w:cs="Arial"/>
          <w:color w:val="000000"/>
          <w:sz w:val="24"/>
          <w:szCs w:val="24"/>
        </w:rPr>
        <w:t xml:space="preserve">In considering the </w:t>
      </w:r>
      <w:r w:rsidR="00BA2853" w:rsidRPr="002166BB">
        <w:rPr>
          <w:rFonts w:ascii="Arial" w:hAnsi="Arial" w:cs="Arial"/>
          <w:color w:val="000000"/>
          <w:sz w:val="24"/>
          <w:szCs w:val="24"/>
        </w:rPr>
        <w:t>potential impact of an incr</w:t>
      </w:r>
      <w:r w:rsidRPr="002166BB">
        <w:rPr>
          <w:rFonts w:ascii="Arial" w:hAnsi="Arial" w:cs="Arial"/>
          <w:color w:val="000000"/>
          <w:sz w:val="24"/>
          <w:szCs w:val="24"/>
        </w:rPr>
        <w:t>ease in MACR to 14 years of age, we can see that i</w:t>
      </w:r>
      <w:r w:rsidR="00BA2853" w:rsidRPr="002166BB">
        <w:rPr>
          <w:rFonts w:ascii="Arial" w:hAnsi="Arial" w:cs="Arial"/>
          <w:color w:val="000000"/>
          <w:sz w:val="24"/>
          <w:szCs w:val="24"/>
        </w:rPr>
        <w:t xml:space="preserve">n 2021, there were 99 children </w:t>
      </w:r>
      <w:r w:rsidRPr="002166BB">
        <w:rPr>
          <w:rFonts w:ascii="Arial" w:hAnsi="Arial" w:cs="Arial"/>
          <w:color w:val="000000"/>
          <w:sz w:val="24"/>
          <w:szCs w:val="24"/>
        </w:rPr>
        <w:t>under this age</w:t>
      </w:r>
      <w:r w:rsidR="00BA2853" w:rsidRPr="002166BB">
        <w:rPr>
          <w:rFonts w:ascii="Arial" w:hAnsi="Arial" w:cs="Arial"/>
          <w:color w:val="000000"/>
          <w:sz w:val="24"/>
          <w:szCs w:val="24"/>
        </w:rPr>
        <w:t xml:space="preserve"> processed through </w:t>
      </w:r>
      <w:r w:rsidRPr="002166BB">
        <w:rPr>
          <w:rFonts w:ascii="Arial" w:hAnsi="Arial" w:cs="Arial"/>
          <w:color w:val="000000"/>
          <w:sz w:val="24"/>
          <w:szCs w:val="24"/>
        </w:rPr>
        <w:t xml:space="preserve">the </w:t>
      </w:r>
      <w:r w:rsidR="00BA2853" w:rsidRPr="002166BB">
        <w:rPr>
          <w:rFonts w:ascii="Arial" w:hAnsi="Arial" w:cs="Arial"/>
          <w:color w:val="000000"/>
          <w:sz w:val="24"/>
          <w:szCs w:val="24"/>
        </w:rPr>
        <w:t>court</w:t>
      </w:r>
      <w:r w:rsidRPr="002166BB">
        <w:rPr>
          <w:rFonts w:ascii="Arial" w:hAnsi="Arial" w:cs="Arial"/>
          <w:color w:val="000000"/>
          <w:sz w:val="24"/>
          <w:szCs w:val="24"/>
        </w:rPr>
        <w:t xml:space="preserve"> system.  This is</w:t>
      </w:r>
      <w:r w:rsidR="00BA2853" w:rsidRPr="002166BB">
        <w:rPr>
          <w:rFonts w:ascii="Arial" w:hAnsi="Arial" w:cs="Arial"/>
          <w:color w:val="000000"/>
          <w:sz w:val="24"/>
          <w:szCs w:val="24"/>
        </w:rPr>
        <w:t xml:space="preserve"> out of</w:t>
      </w:r>
      <w:r w:rsidRPr="002166BB">
        <w:rPr>
          <w:rFonts w:ascii="Arial" w:hAnsi="Arial" w:cs="Arial"/>
          <w:color w:val="000000"/>
          <w:sz w:val="24"/>
          <w:szCs w:val="24"/>
        </w:rPr>
        <w:t xml:space="preserve"> a total of</w:t>
      </w:r>
      <w:r w:rsidR="00BA2853" w:rsidRPr="002166BB">
        <w:rPr>
          <w:rFonts w:ascii="Arial" w:hAnsi="Arial" w:cs="Arial"/>
          <w:color w:val="000000"/>
          <w:sz w:val="24"/>
          <w:szCs w:val="24"/>
        </w:rPr>
        <w:t xml:space="preserve"> 1,182 prosecutions</w:t>
      </w:r>
      <w:r w:rsidRPr="002166BB">
        <w:rPr>
          <w:rFonts w:ascii="Arial" w:hAnsi="Arial" w:cs="Arial"/>
          <w:color w:val="000000"/>
          <w:sz w:val="24"/>
          <w:szCs w:val="24"/>
        </w:rPr>
        <w:t xml:space="preserve"> for that year</w:t>
      </w:r>
      <w:r w:rsidR="00BA2853" w:rsidRPr="002166BB">
        <w:rPr>
          <w:rFonts w:ascii="Arial" w:hAnsi="Arial" w:cs="Arial"/>
          <w:color w:val="000000"/>
          <w:sz w:val="24"/>
          <w:szCs w:val="24"/>
        </w:rPr>
        <w:t xml:space="preserve">, which represents 8.4% of all </w:t>
      </w:r>
      <w:r w:rsidRPr="002166BB">
        <w:rPr>
          <w:rFonts w:ascii="Arial" w:hAnsi="Arial" w:cs="Arial"/>
          <w:color w:val="000000"/>
          <w:sz w:val="24"/>
          <w:szCs w:val="24"/>
        </w:rPr>
        <w:t xml:space="preserve">youth </w:t>
      </w:r>
      <w:r w:rsidR="00BA2853" w:rsidRPr="002166BB">
        <w:rPr>
          <w:rFonts w:ascii="Arial" w:hAnsi="Arial" w:cs="Arial"/>
          <w:color w:val="000000"/>
          <w:sz w:val="24"/>
          <w:szCs w:val="24"/>
        </w:rPr>
        <w:t>prosecutions. Whilst this figure fluctuates from year to year, the average over the last decade</w:t>
      </w:r>
      <w:r w:rsidRPr="002166BB">
        <w:rPr>
          <w:rFonts w:ascii="Arial" w:hAnsi="Arial" w:cs="Arial"/>
          <w:color w:val="000000"/>
          <w:sz w:val="24"/>
          <w:szCs w:val="24"/>
        </w:rPr>
        <w:t xml:space="preserve"> for under 14s</w:t>
      </w:r>
      <w:r w:rsidR="00BA2853" w:rsidRPr="002166BB">
        <w:rPr>
          <w:rFonts w:ascii="Arial" w:hAnsi="Arial" w:cs="Arial"/>
          <w:color w:val="000000"/>
          <w:sz w:val="24"/>
          <w:szCs w:val="24"/>
        </w:rPr>
        <w:t xml:space="preserve"> has been 7.1% of all prosecutions.</w:t>
      </w:r>
    </w:p>
    <w:p w14:paraId="47A5D485" w14:textId="77777777" w:rsidR="00BA2853" w:rsidRPr="002166BB" w:rsidRDefault="00BA2853" w:rsidP="00C41CBD">
      <w:pPr>
        <w:pStyle w:val="ListParagraph"/>
        <w:spacing w:after="0" w:line="240" w:lineRule="auto"/>
        <w:jc w:val="both"/>
        <w:rPr>
          <w:rFonts w:ascii="Arial" w:hAnsi="Arial" w:cs="Arial"/>
          <w:color w:val="000000"/>
          <w:sz w:val="24"/>
          <w:szCs w:val="24"/>
        </w:rPr>
      </w:pPr>
    </w:p>
    <w:p w14:paraId="3FD6BD52" w14:textId="24ADDE5E" w:rsidR="00BA2853" w:rsidRPr="002166BB" w:rsidRDefault="00BA2853" w:rsidP="00927300">
      <w:pPr>
        <w:pStyle w:val="ListParagraph"/>
        <w:numPr>
          <w:ilvl w:val="0"/>
          <w:numId w:val="1"/>
        </w:numPr>
        <w:spacing w:after="0" w:line="360" w:lineRule="auto"/>
        <w:jc w:val="both"/>
        <w:rPr>
          <w:rFonts w:ascii="Arial" w:hAnsi="Arial" w:cs="Arial"/>
          <w:color w:val="000000"/>
          <w:sz w:val="24"/>
          <w:szCs w:val="24"/>
          <w:u w:val="single"/>
        </w:rPr>
      </w:pPr>
      <w:r w:rsidRPr="002166BB">
        <w:rPr>
          <w:rFonts w:ascii="Arial" w:hAnsi="Arial" w:cs="Arial"/>
          <w:color w:val="000000"/>
          <w:sz w:val="24"/>
          <w:szCs w:val="24"/>
        </w:rPr>
        <w:t xml:space="preserve">Turning to diversionary disposals, in 2021 the total number of children aged under 14 </w:t>
      </w:r>
      <w:r w:rsidR="00B153FE" w:rsidRPr="002166BB">
        <w:rPr>
          <w:rFonts w:ascii="Arial" w:hAnsi="Arial" w:cs="Arial"/>
          <w:color w:val="000000"/>
          <w:sz w:val="24"/>
          <w:szCs w:val="24"/>
        </w:rPr>
        <w:t xml:space="preserve">who were handed down </w:t>
      </w:r>
      <w:r w:rsidRPr="002166BB">
        <w:rPr>
          <w:rFonts w:ascii="Arial" w:hAnsi="Arial" w:cs="Arial"/>
          <w:color w:val="000000"/>
          <w:sz w:val="24"/>
          <w:szCs w:val="24"/>
        </w:rPr>
        <w:t xml:space="preserve">a formal diversionary disposal was 229, which represents 19.1% of all </w:t>
      </w:r>
      <w:r w:rsidR="00995FEA" w:rsidRPr="002166BB">
        <w:rPr>
          <w:rFonts w:ascii="Arial" w:hAnsi="Arial" w:cs="Arial"/>
          <w:color w:val="000000"/>
          <w:sz w:val="24"/>
          <w:szCs w:val="24"/>
        </w:rPr>
        <w:t xml:space="preserve">diversionary </w:t>
      </w:r>
      <w:r w:rsidRPr="002166BB">
        <w:rPr>
          <w:rFonts w:ascii="Arial" w:hAnsi="Arial" w:cs="Arial"/>
          <w:color w:val="000000"/>
          <w:sz w:val="24"/>
          <w:szCs w:val="24"/>
        </w:rPr>
        <w:t xml:space="preserve">disposals for children that year.  This means in total there were 328 under 14s dealt with by the formal justice system in 2021, or 13.8% of total disposals.  </w:t>
      </w:r>
      <w:r w:rsidR="0095179B" w:rsidRPr="002166BB">
        <w:rPr>
          <w:rFonts w:ascii="Arial" w:hAnsi="Arial" w:cs="Arial"/>
          <w:sz w:val="24"/>
          <w:szCs w:val="24"/>
        </w:rPr>
        <w:t>Therefore raising MACR to 14, whilst only removing a relatively small amount of children from the formal justice system, would nevertheless have a significant positive impact on their lives and future p</w:t>
      </w:r>
      <w:r w:rsidR="00A97CD2" w:rsidRPr="002166BB">
        <w:rPr>
          <w:rFonts w:ascii="Arial" w:hAnsi="Arial" w:cs="Arial"/>
          <w:sz w:val="24"/>
          <w:szCs w:val="24"/>
        </w:rPr>
        <w:t>rospects.  This is explored further</w:t>
      </w:r>
      <w:r w:rsidR="0095179B" w:rsidRPr="002166BB">
        <w:rPr>
          <w:rFonts w:ascii="Arial" w:hAnsi="Arial" w:cs="Arial"/>
          <w:sz w:val="24"/>
          <w:szCs w:val="24"/>
        </w:rPr>
        <w:t xml:space="preserve"> in the next section. </w:t>
      </w:r>
      <w:r w:rsidR="0095179B" w:rsidRPr="002166BB">
        <w:rPr>
          <w:rFonts w:ascii="Arial" w:hAnsi="Arial" w:cs="Arial"/>
          <w:color w:val="000000"/>
          <w:sz w:val="24"/>
          <w:szCs w:val="24"/>
        </w:rPr>
        <w:t xml:space="preserve"> </w:t>
      </w:r>
    </w:p>
    <w:p w14:paraId="288CF697" w14:textId="77777777" w:rsidR="00DD2E6E" w:rsidRPr="002166BB" w:rsidRDefault="00DD2E6E" w:rsidP="00C41CBD">
      <w:pPr>
        <w:spacing w:after="0" w:line="240" w:lineRule="auto"/>
        <w:jc w:val="both"/>
        <w:rPr>
          <w:rFonts w:ascii="Arial" w:hAnsi="Arial" w:cs="Arial"/>
          <w:b/>
          <w:color w:val="000000"/>
          <w:sz w:val="24"/>
          <w:szCs w:val="24"/>
          <w:u w:val="single"/>
        </w:rPr>
      </w:pPr>
    </w:p>
    <w:p w14:paraId="2C29C5D0" w14:textId="42DCCF07" w:rsidR="00BA2853" w:rsidRPr="002166BB" w:rsidRDefault="00527E17" w:rsidP="00927300">
      <w:pPr>
        <w:spacing w:after="0" w:line="360" w:lineRule="auto"/>
        <w:jc w:val="both"/>
        <w:rPr>
          <w:rFonts w:ascii="Arial" w:hAnsi="Arial" w:cs="Arial"/>
          <w:b/>
          <w:color w:val="000000"/>
          <w:sz w:val="24"/>
          <w:szCs w:val="24"/>
          <w:u w:val="single"/>
        </w:rPr>
      </w:pPr>
      <w:r w:rsidRPr="002166BB">
        <w:rPr>
          <w:rFonts w:ascii="Arial" w:hAnsi="Arial" w:cs="Arial"/>
          <w:b/>
          <w:color w:val="000000"/>
          <w:sz w:val="24"/>
          <w:szCs w:val="24"/>
          <w:u w:val="single"/>
        </w:rPr>
        <w:t>The case for change</w:t>
      </w:r>
    </w:p>
    <w:p w14:paraId="2BFF2705" w14:textId="77777777" w:rsidR="00DD2E6E" w:rsidRPr="002166BB" w:rsidRDefault="00DD2E6E" w:rsidP="00C41CBD">
      <w:pPr>
        <w:spacing w:after="0" w:line="240" w:lineRule="auto"/>
        <w:jc w:val="both"/>
        <w:rPr>
          <w:rFonts w:ascii="Arial" w:hAnsi="Arial" w:cs="Arial"/>
          <w:b/>
          <w:color w:val="000000"/>
          <w:sz w:val="24"/>
          <w:szCs w:val="24"/>
          <w:u w:val="single"/>
        </w:rPr>
      </w:pPr>
    </w:p>
    <w:p w14:paraId="338FDBD5" w14:textId="1827DA25" w:rsidR="00DD2E6E" w:rsidRPr="002166BB" w:rsidRDefault="00BA2853" w:rsidP="00927300">
      <w:pPr>
        <w:pStyle w:val="ListParagraph"/>
        <w:numPr>
          <w:ilvl w:val="0"/>
          <w:numId w:val="1"/>
        </w:numPr>
        <w:spacing w:after="0" w:line="360" w:lineRule="auto"/>
        <w:ind w:left="357" w:hanging="357"/>
        <w:jc w:val="both"/>
        <w:rPr>
          <w:rFonts w:ascii="Arial" w:hAnsi="Arial" w:cs="Arial"/>
          <w:color w:val="000000"/>
          <w:sz w:val="24"/>
          <w:szCs w:val="24"/>
          <w:u w:val="single"/>
        </w:rPr>
      </w:pPr>
      <w:r w:rsidRPr="002166BB">
        <w:rPr>
          <w:rFonts w:ascii="Arial" w:hAnsi="Arial" w:cs="Arial"/>
          <w:color w:val="000000"/>
          <w:sz w:val="24"/>
          <w:szCs w:val="24"/>
        </w:rPr>
        <w:lastRenderedPageBreak/>
        <w:t>When taken in the context of other age limits, MACR is considerably lower than the age at which children can legally assume other responsibilities</w:t>
      </w:r>
      <w:r w:rsidR="00595FFD" w:rsidRPr="002166BB">
        <w:rPr>
          <w:rFonts w:ascii="Arial" w:hAnsi="Arial" w:cs="Arial"/>
          <w:color w:val="000000"/>
          <w:sz w:val="24"/>
          <w:szCs w:val="24"/>
        </w:rPr>
        <w:t xml:space="preserve"> such as sexual consent, marriage, the purchase of tobacco/lottery tickets and the ability to vote.  </w:t>
      </w:r>
      <w:r w:rsidRPr="002166BB">
        <w:rPr>
          <w:rFonts w:ascii="Arial" w:hAnsi="Arial" w:cs="Arial"/>
          <w:color w:val="000000"/>
          <w:sz w:val="24"/>
          <w:szCs w:val="24"/>
        </w:rPr>
        <w:t xml:space="preserve">It is also in stark contrast to the civil justice provisions made in the Mental Capacity Act (NI) 2016 which provide safeguards and protections for vulnerable persons aged 16 and over who lack capacity to make decisions about their health, care, finances and personal welfare.  These provisions apply to those aged 16 and over as the policy view was that no child below this age was mature enough to make such decisions; responsibility instead rests with the parents or guardians in these cases.  In contrast, the criminal justice system considers a child to be mature enough at 10 to take </w:t>
      </w:r>
      <w:r w:rsidRPr="002166BB">
        <w:rPr>
          <w:rFonts w:ascii="Arial" w:hAnsi="Arial" w:cs="Arial"/>
          <w:color w:val="000000"/>
          <w:sz w:val="24"/>
          <w:szCs w:val="24"/>
          <w:u w:val="single"/>
        </w:rPr>
        <w:t>criminal</w:t>
      </w:r>
      <w:r w:rsidRPr="002166BB">
        <w:rPr>
          <w:rFonts w:ascii="Arial" w:hAnsi="Arial" w:cs="Arial"/>
          <w:color w:val="000000"/>
          <w:sz w:val="24"/>
          <w:szCs w:val="24"/>
        </w:rPr>
        <w:t xml:space="preserve"> responsibility for their actions.</w:t>
      </w:r>
    </w:p>
    <w:p w14:paraId="636E804B" w14:textId="77777777" w:rsidR="00995FEA" w:rsidRPr="002166BB" w:rsidRDefault="00995FEA" w:rsidP="00C41CBD">
      <w:pPr>
        <w:pStyle w:val="ListParagraph"/>
        <w:spacing w:after="0" w:line="240" w:lineRule="auto"/>
        <w:ind w:left="357"/>
        <w:jc w:val="both"/>
        <w:rPr>
          <w:rFonts w:ascii="Arial" w:hAnsi="Arial" w:cs="Arial"/>
          <w:color w:val="000000"/>
          <w:sz w:val="24"/>
          <w:szCs w:val="24"/>
        </w:rPr>
      </w:pPr>
    </w:p>
    <w:p w14:paraId="468A0A00" w14:textId="4B5BA837" w:rsidR="00DD2E6E" w:rsidRPr="002166BB" w:rsidRDefault="00DD2E6E" w:rsidP="00927300">
      <w:pPr>
        <w:pStyle w:val="ListParagraph"/>
        <w:numPr>
          <w:ilvl w:val="0"/>
          <w:numId w:val="1"/>
        </w:numPr>
        <w:spacing w:after="0" w:line="360" w:lineRule="auto"/>
        <w:ind w:left="357" w:hanging="357"/>
        <w:contextualSpacing w:val="0"/>
        <w:jc w:val="both"/>
        <w:rPr>
          <w:rFonts w:ascii="Arial" w:hAnsi="Arial" w:cs="Arial"/>
          <w:color w:val="000000"/>
          <w:sz w:val="24"/>
          <w:szCs w:val="24"/>
          <w:u w:val="single"/>
        </w:rPr>
      </w:pPr>
      <w:r w:rsidRPr="002166BB">
        <w:rPr>
          <w:rFonts w:ascii="Arial" w:hAnsi="Arial" w:cs="Arial"/>
          <w:color w:val="000000"/>
          <w:sz w:val="24"/>
          <w:szCs w:val="24"/>
        </w:rPr>
        <w:t>R</w:t>
      </w:r>
      <w:r w:rsidR="008F282D" w:rsidRPr="002166BB">
        <w:rPr>
          <w:rFonts w:ascii="Arial" w:hAnsi="Arial" w:cs="Arial"/>
          <w:color w:val="000000"/>
          <w:sz w:val="24"/>
          <w:szCs w:val="24"/>
        </w:rPr>
        <w:t xml:space="preserve">esearch </w:t>
      </w:r>
      <w:r w:rsidRPr="002166BB">
        <w:rPr>
          <w:rFonts w:ascii="Arial" w:hAnsi="Arial" w:cs="Arial"/>
          <w:color w:val="000000"/>
          <w:sz w:val="24"/>
          <w:szCs w:val="24"/>
        </w:rPr>
        <w:t>into the development of the brain during adolescence</w:t>
      </w:r>
      <w:r w:rsidR="0052294F" w:rsidRPr="002166BB">
        <w:rPr>
          <w:rFonts w:ascii="Arial" w:hAnsi="Arial" w:cs="Arial"/>
          <w:color w:val="000000"/>
          <w:sz w:val="24"/>
          <w:szCs w:val="24"/>
        </w:rPr>
        <w:t>,</w:t>
      </w:r>
      <w:r w:rsidRPr="002166BB">
        <w:rPr>
          <w:rFonts w:ascii="Arial" w:hAnsi="Arial" w:cs="Arial"/>
          <w:color w:val="000000"/>
          <w:sz w:val="24"/>
          <w:szCs w:val="24"/>
        </w:rPr>
        <w:t xml:space="preserve"> and the implications this has in relation to risk-taking and the understanding of longer-term consequences</w:t>
      </w:r>
      <w:r w:rsidR="0052294F" w:rsidRPr="002166BB">
        <w:rPr>
          <w:rFonts w:ascii="Arial" w:hAnsi="Arial" w:cs="Arial"/>
          <w:color w:val="000000"/>
          <w:sz w:val="24"/>
          <w:szCs w:val="24"/>
        </w:rPr>
        <w:t>,</w:t>
      </w:r>
      <w:r w:rsidRPr="002166BB">
        <w:rPr>
          <w:rFonts w:ascii="Arial" w:hAnsi="Arial" w:cs="Arial"/>
          <w:color w:val="000000"/>
          <w:sz w:val="24"/>
          <w:szCs w:val="24"/>
        </w:rPr>
        <w:t xml:space="preserve"> </w:t>
      </w:r>
      <w:r w:rsidR="00FD1894" w:rsidRPr="002166BB">
        <w:rPr>
          <w:rFonts w:ascii="Arial" w:hAnsi="Arial" w:cs="Arial"/>
          <w:color w:val="000000"/>
          <w:sz w:val="24"/>
          <w:szCs w:val="24"/>
        </w:rPr>
        <w:t xml:space="preserve">supports non-criminal justice interventions for the small number of children aged under 14 who offend.  </w:t>
      </w:r>
    </w:p>
    <w:p w14:paraId="233B23A3" w14:textId="065D56C0" w:rsidR="00DD2E6E" w:rsidRPr="002166BB" w:rsidRDefault="00DD2E6E" w:rsidP="00C41CBD">
      <w:pPr>
        <w:spacing w:after="0" w:line="240" w:lineRule="auto"/>
        <w:jc w:val="both"/>
        <w:rPr>
          <w:rFonts w:ascii="Arial" w:hAnsi="Arial" w:cs="Arial"/>
          <w:color w:val="000000"/>
          <w:sz w:val="24"/>
          <w:szCs w:val="24"/>
          <w:u w:val="single"/>
        </w:rPr>
      </w:pPr>
    </w:p>
    <w:p w14:paraId="213C96A3" w14:textId="6F76EF26" w:rsidR="005C67E1" w:rsidRPr="002166BB" w:rsidRDefault="00FD1894" w:rsidP="00927300">
      <w:pPr>
        <w:pStyle w:val="ListParagraph"/>
        <w:numPr>
          <w:ilvl w:val="0"/>
          <w:numId w:val="1"/>
        </w:numPr>
        <w:spacing w:after="0" w:line="360" w:lineRule="auto"/>
        <w:ind w:left="357" w:hanging="357"/>
        <w:contextualSpacing w:val="0"/>
        <w:jc w:val="both"/>
        <w:rPr>
          <w:rFonts w:ascii="Arial" w:hAnsi="Arial" w:cs="Arial"/>
          <w:color w:val="000000"/>
          <w:sz w:val="24"/>
          <w:szCs w:val="24"/>
          <w:u w:val="single"/>
        </w:rPr>
      </w:pPr>
      <w:r w:rsidRPr="002166BB">
        <w:rPr>
          <w:rFonts w:ascii="Arial" w:hAnsi="Arial" w:cs="Arial"/>
          <w:color w:val="000000"/>
          <w:sz w:val="24"/>
          <w:szCs w:val="24"/>
        </w:rPr>
        <w:t xml:space="preserve">The current MACR was set at a time when limited </w:t>
      </w:r>
      <w:r w:rsidR="004A38A7" w:rsidRPr="002166BB">
        <w:rPr>
          <w:rFonts w:ascii="Arial" w:hAnsi="Arial" w:cs="Arial"/>
          <w:color w:val="000000"/>
          <w:sz w:val="24"/>
          <w:szCs w:val="24"/>
        </w:rPr>
        <w:t xml:space="preserve">research </w:t>
      </w:r>
      <w:r w:rsidRPr="002166BB">
        <w:rPr>
          <w:rFonts w:ascii="Arial" w:hAnsi="Arial" w:cs="Arial"/>
          <w:color w:val="000000"/>
          <w:sz w:val="24"/>
          <w:szCs w:val="24"/>
        </w:rPr>
        <w:t xml:space="preserve">regarding adolescent brain development had </w:t>
      </w:r>
      <w:r w:rsidRPr="002166BB">
        <w:rPr>
          <w:rFonts w:ascii="Arial" w:hAnsi="Arial" w:cs="Arial"/>
          <w:color w:val="000000"/>
          <w:sz w:val="24"/>
          <w:szCs w:val="24"/>
        </w:rPr>
        <w:lastRenderedPageBreak/>
        <w:t xml:space="preserve">been undertaken, </w:t>
      </w:r>
      <w:r w:rsidR="004A38A7" w:rsidRPr="002166BB">
        <w:rPr>
          <w:rFonts w:ascii="Arial" w:hAnsi="Arial" w:cs="Arial"/>
          <w:color w:val="000000"/>
          <w:sz w:val="24"/>
          <w:szCs w:val="24"/>
        </w:rPr>
        <w:t>however</w:t>
      </w:r>
      <w:r w:rsidRPr="002166BB">
        <w:rPr>
          <w:rFonts w:ascii="Arial" w:hAnsi="Arial" w:cs="Arial"/>
          <w:color w:val="000000"/>
          <w:sz w:val="24"/>
          <w:szCs w:val="24"/>
        </w:rPr>
        <w:t xml:space="preserve"> a </w:t>
      </w:r>
      <w:r w:rsidR="004A38A7" w:rsidRPr="002166BB">
        <w:rPr>
          <w:rFonts w:ascii="Arial" w:hAnsi="Arial" w:cs="Arial"/>
          <w:color w:val="000000"/>
          <w:sz w:val="24"/>
          <w:szCs w:val="24"/>
        </w:rPr>
        <w:t xml:space="preserve">2011 </w:t>
      </w:r>
      <w:r w:rsidRPr="002166BB">
        <w:rPr>
          <w:rFonts w:ascii="Arial" w:hAnsi="Arial" w:cs="Arial"/>
          <w:sz w:val="24"/>
          <w:szCs w:val="24"/>
        </w:rPr>
        <w:t>Royal Society report</w:t>
      </w:r>
      <w:r w:rsidR="00DD2E6E" w:rsidRPr="002166BB">
        <w:rPr>
          <w:rStyle w:val="FootnoteReference"/>
          <w:rFonts w:ascii="Arial" w:hAnsi="Arial" w:cs="Arial"/>
          <w:color w:val="0563C1" w:themeColor="hyperlink"/>
          <w:sz w:val="24"/>
          <w:szCs w:val="24"/>
          <w:u w:val="single"/>
        </w:rPr>
        <w:footnoteReference w:id="2"/>
      </w:r>
      <w:r w:rsidR="004A38A7" w:rsidRPr="002166BB">
        <w:rPr>
          <w:rStyle w:val="Hyperlink"/>
          <w:rFonts w:ascii="Arial" w:hAnsi="Arial" w:cs="Arial"/>
          <w:sz w:val="24"/>
          <w:szCs w:val="24"/>
        </w:rPr>
        <w:t xml:space="preserve"> </w:t>
      </w:r>
      <w:r w:rsidR="00610007" w:rsidRPr="002166BB">
        <w:rPr>
          <w:rFonts w:ascii="Arial" w:hAnsi="Arial" w:cs="Arial"/>
          <w:color w:val="000000"/>
          <w:sz w:val="24"/>
          <w:szCs w:val="24"/>
        </w:rPr>
        <w:t>show</w:t>
      </w:r>
      <w:r w:rsidR="00DD2E6E" w:rsidRPr="002166BB">
        <w:rPr>
          <w:rFonts w:ascii="Arial" w:hAnsi="Arial" w:cs="Arial"/>
          <w:color w:val="000000"/>
          <w:sz w:val="24"/>
          <w:szCs w:val="24"/>
        </w:rPr>
        <w:t xml:space="preserve">ed </w:t>
      </w:r>
      <w:r w:rsidRPr="002166BB">
        <w:rPr>
          <w:rFonts w:ascii="Arial" w:hAnsi="Arial" w:cs="Arial"/>
          <w:color w:val="000000"/>
          <w:sz w:val="24"/>
          <w:szCs w:val="24"/>
        </w:rPr>
        <w:t>that changes in important neural circuits underpinning behaviour continue until at least 20 years of age</w:t>
      </w:r>
      <w:r w:rsidR="004A38A7" w:rsidRPr="002166BB">
        <w:rPr>
          <w:rFonts w:ascii="Arial" w:hAnsi="Arial" w:cs="Arial"/>
          <w:color w:val="000000"/>
          <w:sz w:val="24"/>
          <w:szCs w:val="24"/>
        </w:rPr>
        <w:t>.  This, and the imbalance between the developmental stages of the prefrontal cortex and the amygdala, can explain the often heightened emotions and risk-taking behaviours which are common to adolescents, supporting the case for increasing MACR</w:t>
      </w:r>
      <w:r w:rsidRPr="002166BB">
        <w:rPr>
          <w:rFonts w:ascii="Arial" w:hAnsi="Arial" w:cs="Arial"/>
          <w:color w:val="000000"/>
          <w:sz w:val="24"/>
          <w:szCs w:val="24"/>
        </w:rPr>
        <w:t xml:space="preserve">. </w:t>
      </w:r>
      <w:r w:rsidR="00610007" w:rsidRPr="002166BB">
        <w:rPr>
          <w:rFonts w:ascii="Arial" w:hAnsi="Arial" w:cs="Arial"/>
          <w:color w:val="000000"/>
          <w:sz w:val="24"/>
          <w:szCs w:val="24"/>
        </w:rPr>
        <w:t xml:space="preserve"> Furthermore, r</w:t>
      </w:r>
      <w:r w:rsidRPr="002166BB">
        <w:rPr>
          <w:rFonts w:ascii="Arial" w:hAnsi="Arial" w:cs="Arial"/>
          <w:sz w:val="24"/>
          <w:szCs w:val="24"/>
        </w:rPr>
        <w:t>esearch</w:t>
      </w:r>
      <w:r w:rsidR="00927300" w:rsidRPr="002166BB">
        <w:rPr>
          <w:rStyle w:val="FootnoteReference"/>
          <w:rFonts w:ascii="Arial" w:hAnsi="Arial" w:cs="Arial"/>
          <w:sz w:val="24"/>
          <w:szCs w:val="24"/>
        </w:rPr>
        <w:footnoteReference w:id="3"/>
      </w:r>
      <w:r w:rsidRPr="002166BB">
        <w:rPr>
          <w:rFonts w:ascii="Arial" w:hAnsi="Arial" w:cs="Arial"/>
          <w:color w:val="000000"/>
          <w:sz w:val="24"/>
          <w:szCs w:val="24"/>
        </w:rPr>
        <w:t xml:space="preserve"> using MRI scanning has proven that the period of adolescence (from age 10–19 years) represents significant neurodevelopmental and behavioural changes</w:t>
      </w:r>
      <w:r w:rsidR="005C67E1" w:rsidRPr="002166BB">
        <w:rPr>
          <w:rFonts w:ascii="Arial" w:hAnsi="Arial" w:cs="Arial"/>
          <w:color w:val="000000"/>
          <w:sz w:val="24"/>
          <w:szCs w:val="24"/>
        </w:rPr>
        <w:t>.</w:t>
      </w:r>
    </w:p>
    <w:p w14:paraId="2C6BB971" w14:textId="77777777" w:rsidR="005C67E1" w:rsidRPr="002166BB" w:rsidRDefault="005C67E1" w:rsidP="00C41CBD">
      <w:pPr>
        <w:spacing w:after="0" w:line="240" w:lineRule="auto"/>
        <w:jc w:val="both"/>
        <w:rPr>
          <w:rFonts w:ascii="Arial" w:hAnsi="Arial" w:cs="Arial"/>
          <w:color w:val="000000"/>
          <w:sz w:val="24"/>
          <w:szCs w:val="24"/>
          <w:u w:val="single"/>
        </w:rPr>
      </w:pPr>
    </w:p>
    <w:p w14:paraId="3BB5EFCE" w14:textId="6E7E74BF" w:rsidR="005C67E1" w:rsidRPr="002166BB" w:rsidRDefault="00610007" w:rsidP="00927300">
      <w:pPr>
        <w:pStyle w:val="ListParagraph"/>
        <w:numPr>
          <w:ilvl w:val="0"/>
          <w:numId w:val="1"/>
        </w:numPr>
        <w:spacing w:after="0" w:line="360" w:lineRule="auto"/>
        <w:ind w:left="357" w:hanging="357"/>
        <w:contextualSpacing w:val="0"/>
        <w:jc w:val="both"/>
        <w:rPr>
          <w:rFonts w:ascii="Arial" w:hAnsi="Arial" w:cs="Arial"/>
          <w:color w:val="000000"/>
          <w:sz w:val="24"/>
          <w:szCs w:val="24"/>
          <w:u w:val="single"/>
        </w:rPr>
      </w:pPr>
      <w:r w:rsidRPr="002166BB">
        <w:rPr>
          <w:rFonts w:ascii="Arial" w:hAnsi="Arial" w:cs="Arial"/>
          <w:color w:val="000000"/>
          <w:sz w:val="24"/>
          <w:szCs w:val="24"/>
        </w:rPr>
        <w:t xml:space="preserve">In terms of the long-term impact which </w:t>
      </w:r>
      <w:r w:rsidR="003218E8" w:rsidRPr="002166BB">
        <w:rPr>
          <w:rFonts w:ascii="Arial" w:hAnsi="Arial" w:cs="Arial"/>
          <w:color w:val="000000"/>
          <w:sz w:val="24"/>
          <w:szCs w:val="24"/>
        </w:rPr>
        <w:t xml:space="preserve">contact with the justice system has </w:t>
      </w:r>
      <w:r w:rsidRPr="002166BB">
        <w:rPr>
          <w:rFonts w:ascii="Arial" w:hAnsi="Arial" w:cs="Arial"/>
          <w:color w:val="000000"/>
          <w:sz w:val="24"/>
          <w:szCs w:val="24"/>
        </w:rPr>
        <w:t xml:space="preserve">on </w:t>
      </w:r>
      <w:r w:rsidR="003218E8" w:rsidRPr="002166BB">
        <w:rPr>
          <w:rFonts w:ascii="Arial" w:hAnsi="Arial" w:cs="Arial"/>
          <w:color w:val="000000"/>
          <w:sz w:val="24"/>
          <w:szCs w:val="24"/>
        </w:rPr>
        <w:t>the lives of children</w:t>
      </w:r>
      <w:r w:rsidRPr="002166BB">
        <w:rPr>
          <w:rFonts w:ascii="Arial" w:hAnsi="Arial" w:cs="Arial"/>
          <w:color w:val="000000"/>
          <w:sz w:val="24"/>
          <w:szCs w:val="24"/>
        </w:rPr>
        <w:t xml:space="preserve">, </w:t>
      </w:r>
      <w:r w:rsidR="003218E8" w:rsidRPr="002166BB">
        <w:rPr>
          <w:rFonts w:ascii="Arial" w:hAnsi="Arial" w:cs="Arial"/>
          <w:color w:val="000000"/>
          <w:sz w:val="24"/>
          <w:szCs w:val="24"/>
        </w:rPr>
        <w:t xml:space="preserve">research demonstrates that if children are criminalised from a young age they are more likely to be drawn further and </w:t>
      </w:r>
      <w:r w:rsidR="003218E8" w:rsidRPr="002166BB">
        <w:rPr>
          <w:rFonts w:ascii="Arial" w:hAnsi="Arial" w:cs="Arial"/>
          <w:color w:val="000000"/>
          <w:sz w:val="24"/>
          <w:szCs w:val="24"/>
        </w:rPr>
        <w:lastRenderedPageBreak/>
        <w:t xml:space="preserve">deeper into the criminal justice system.  </w:t>
      </w:r>
      <w:r w:rsidRPr="002166BB">
        <w:rPr>
          <w:rFonts w:ascii="Arial" w:hAnsi="Arial" w:cs="Arial"/>
          <w:color w:val="000000"/>
          <w:sz w:val="24"/>
          <w:szCs w:val="24"/>
        </w:rPr>
        <w:t>A d</w:t>
      </w:r>
      <w:r w:rsidR="003218E8" w:rsidRPr="002166BB">
        <w:rPr>
          <w:rFonts w:ascii="Arial" w:hAnsi="Arial" w:cs="Arial"/>
          <w:color w:val="000000"/>
          <w:sz w:val="24"/>
          <w:szCs w:val="24"/>
        </w:rPr>
        <w:t xml:space="preserve">etailed longitudinal </w:t>
      </w:r>
      <w:r w:rsidRPr="002166BB">
        <w:rPr>
          <w:rFonts w:ascii="Arial" w:hAnsi="Arial" w:cs="Arial"/>
          <w:color w:val="000000"/>
          <w:sz w:val="24"/>
          <w:szCs w:val="24"/>
        </w:rPr>
        <w:t>study</w:t>
      </w:r>
      <w:r w:rsidR="003218E8" w:rsidRPr="002166BB">
        <w:rPr>
          <w:rStyle w:val="FootnoteReference"/>
          <w:rFonts w:ascii="Arial" w:hAnsi="Arial" w:cs="Arial"/>
          <w:color w:val="000000"/>
          <w:sz w:val="24"/>
          <w:szCs w:val="24"/>
        </w:rPr>
        <w:footnoteReference w:id="4"/>
      </w:r>
      <w:r w:rsidR="003218E8" w:rsidRPr="002166BB">
        <w:rPr>
          <w:rFonts w:ascii="Arial" w:hAnsi="Arial" w:cs="Arial"/>
          <w:color w:val="000000"/>
          <w:sz w:val="24"/>
          <w:szCs w:val="24"/>
        </w:rPr>
        <w:t>, involving a cohort of 4,300 children in Scotlan</w:t>
      </w:r>
      <w:r w:rsidRPr="002166BB">
        <w:rPr>
          <w:rFonts w:ascii="Arial" w:hAnsi="Arial" w:cs="Arial"/>
          <w:color w:val="000000"/>
          <w:sz w:val="24"/>
          <w:szCs w:val="24"/>
        </w:rPr>
        <w:t>d, concluded that the deeper</w:t>
      </w:r>
      <w:r w:rsidR="003218E8" w:rsidRPr="002166BB">
        <w:rPr>
          <w:rFonts w:ascii="Arial" w:hAnsi="Arial" w:cs="Arial"/>
          <w:color w:val="000000"/>
          <w:sz w:val="24"/>
          <w:szCs w:val="24"/>
        </w:rPr>
        <w:t xml:space="preserve"> children penetrate the youth justice system, the more ‘damaged’ they are likely to become and the less likely they are to stop offending and grow out of crime. </w:t>
      </w:r>
      <w:r w:rsidRPr="002166BB">
        <w:rPr>
          <w:rFonts w:ascii="Arial" w:hAnsi="Arial" w:cs="Arial"/>
          <w:color w:val="000000"/>
          <w:sz w:val="24"/>
          <w:szCs w:val="24"/>
        </w:rPr>
        <w:t>This, in turn, has negative consequences for society as a whole.</w:t>
      </w:r>
    </w:p>
    <w:p w14:paraId="4E64D9A3" w14:textId="77777777" w:rsidR="007B6D9D" w:rsidRPr="002166BB" w:rsidRDefault="007B6D9D" w:rsidP="00C41CBD">
      <w:pPr>
        <w:pStyle w:val="ListParagraph"/>
        <w:spacing w:after="0" w:line="240" w:lineRule="auto"/>
        <w:jc w:val="both"/>
        <w:rPr>
          <w:rFonts w:ascii="Arial" w:hAnsi="Arial" w:cs="Arial"/>
          <w:color w:val="000000"/>
          <w:sz w:val="24"/>
          <w:szCs w:val="24"/>
          <w:u w:val="single"/>
        </w:rPr>
      </w:pPr>
    </w:p>
    <w:p w14:paraId="35F66AEF" w14:textId="57A100B8" w:rsidR="00874553" w:rsidRPr="002166BB" w:rsidRDefault="007B6D9D"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A further study</w:t>
      </w:r>
      <w:r w:rsidRPr="002166BB">
        <w:rPr>
          <w:rStyle w:val="FootnoteReference"/>
          <w:rFonts w:ascii="Arial" w:hAnsi="Arial" w:cs="Arial"/>
          <w:color w:val="000000"/>
          <w:sz w:val="24"/>
          <w:szCs w:val="24"/>
        </w:rPr>
        <w:footnoteReference w:id="5"/>
      </w:r>
      <w:r w:rsidRPr="002166BB">
        <w:rPr>
          <w:rFonts w:ascii="Arial" w:hAnsi="Arial" w:cs="Arial"/>
          <w:color w:val="000000"/>
          <w:sz w:val="24"/>
          <w:szCs w:val="24"/>
        </w:rPr>
        <w:t xml:space="preserve"> carried out in the US which involved over 1,200 adolescent boys looked at whether formal processing following an offence led to worse outcomes for adolescents than informal processing.  The results indicated that formal processing of an adolescent charged for the first time with a relatively moderate offence, caused more harm than good. Furthermore, those formally processed were more likely to be re-arrested, incarcerated and engaged in more violence.</w:t>
      </w:r>
    </w:p>
    <w:p w14:paraId="7519DA08" w14:textId="0002B1D7" w:rsidR="00FB0E89" w:rsidRDefault="00FB0E89" w:rsidP="00C41CBD">
      <w:pPr>
        <w:spacing w:after="0" w:line="240" w:lineRule="auto"/>
        <w:jc w:val="both"/>
        <w:rPr>
          <w:rFonts w:ascii="Arial" w:hAnsi="Arial" w:cs="Arial"/>
          <w:b/>
          <w:color w:val="000000"/>
          <w:sz w:val="24"/>
          <w:szCs w:val="24"/>
          <w:u w:val="single"/>
        </w:rPr>
      </w:pPr>
    </w:p>
    <w:p w14:paraId="49712878" w14:textId="237FB39A" w:rsidR="001C4FB4" w:rsidRPr="002166BB" w:rsidRDefault="001C4FB4" w:rsidP="00927300">
      <w:pPr>
        <w:spacing w:after="0" w:line="360" w:lineRule="auto"/>
        <w:jc w:val="both"/>
        <w:rPr>
          <w:rFonts w:ascii="Arial" w:hAnsi="Arial" w:cs="Arial"/>
          <w:b/>
          <w:color w:val="000000"/>
          <w:sz w:val="24"/>
          <w:szCs w:val="24"/>
          <w:u w:val="single"/>
        </w:rPr>
      </w:pPr>
      <w:r w:rsidRPr="002166BB">
        <w:rPr>
          <w:rFonts w:ascii="Arial" w:hAnsi="Arial" w:cs="Arial"/>
          <w:b/>
          <w:color w:val="000000"/>
          <w:sz w:val="24"/>
          <w:szCs w:val="24"/>
          <w:u w:val="single"/>
        </w:rPr>
        <w:t>The impact of increasing MACR</w:t>
      </w:r>
    </w:p>
    <w:p w14:paraId="07AECAA6" w14:textId="77777777" w:rsidR="007B6D9D" w:rsidRPr="002166BB" w:rsidRDefault="007B6D9D" w:rsidP="00927300">
      <w:pPr>
        <w:spacing w:after="0" w:line="240" w:lineRule="auto"/>
        <w:jc w:val="both"/>
        <w:rPr>
          <w:rFonts w:ascii="Arial" w:hAnsi="Arial" w:cs="Arial"/>
          <w:b/>
          <w:color w:val="000000"/>
          <w:sz w:val="24"/>
          <w:szCs w:val="24"/>
          <w:u w:val="single"/>
        </w:rPr>
      </w:pPr>
    </w:p>
    <w:p w14:paraId="152A4EAD" w14:textId="77777777" w:rsidR="001C4FB4" w:rsidRPr="002166BB" w:rsidRDefault="001C4FB4"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lastRenderedPageBreak/>
        <w:t>Often it is the most troubled and vulnerable children who find themselves deeply entrenched in the justice system. For many of these children, an earlier intervention to address underlying issues and provide support for change, could have prevented them</w:t>
      </w:r>
      <w:r w:rsidR="00114CD3" w:rsidRPr="002166BB">
        <w:rPr>
          <w:rFonts w:ascii="Arial" w:hAnsi="Arial" w:cs="Arial"/>
          <w:color w:val="000000"/>
          <w:sz w:val="24"/>
          <w:szCs w:val="24"/>
        </w:rPr>
        <w:t xml:space="preserve"> </w:t>
      </w:r>
      <w:r w:rsidR="000A0285" w:rsidRPr="002166BB">
        <w:rPr>
          <w:rFonts w:ascii="Arial" w:hAnsi="Arial" w:cs="Arial"/>
          <w:color w:val="000000"/>
          <w:sz w:val="24"/>
          <w:szCs w:val="24"/>
        </w:rPr>
        <w:t>from becoming involved in the</w:t>
      </w:r>
      <w:r w:rsidRPr="002166BB">
        <w:rPr>
          <w:rFonts w:ascii="Arial" w:hAnsi="Arial" w:cs="Arial"/>
          <w:color w:val="000000"/>
          <w:sz w:val="24"/>
          <w:szCs w:val="24"/>
        </w:rPr>
        <w:t xml:space="preserve"> criminal justice system and</w:t>
      </w:r>
      <w:r w:rsidR="000A0285" w:rsidRPr="002166BB">
        <w:rPr>
          <w:rFonts w:ascii="Arial" w:hAnsi="Arial" w:cs="Arial"/>
          <w:color w:val="000000"/>
          <w:sz w:val="24"/>
          <w:szCs w:val="24"/>
        </w:rPr>
        <w:t xml:space="preserve"> saved them from</w:t>
      </w:r>
      <w:r w:rsidRPr="002166BB">
        <w:rPr>
          <w:rFonts w:ascii="Arial" w:hAnsi="Arial" w:cs="Arial"/>
          <w:color w:val="000000"/>
          <w:sz w:val="24"/>
          <w:szCs w:val="24"/>
        </w:rPr>
        <w:t xml:space="preserve"> the stigmatisation and other </w:t>
      </w:r>
      <w:r w:rsidR="00114CD3" w:rsidRPr="002166BB">
        <w:rPr>
          <w:rFonts w:ascii="Arial" w:hAnsi="Arial" w:cs="Arial"/>
          <w:color w:val="000000"/>
          <w:sz w:val="24"/>
          <w:szCs w:val="24"/>
        </w:rPr>
        <w:t xml:space="preserve">life-long </w:t>
      </w:r>
      <w:r w:rsidRPr="002166BB">
        <w:rPr>
          <w:rFonts w:ascii="Arial" w:hAnsi="Arial" w:cs="Arial"/>
          <w:color w:val="000000"/>
          <w:sz w:val="24"/>
          <w:szCs w:val="24"/>
        </w:rPr>
        <w:t xml:space="preserve">consequences which often follow.  </w:t>
      </w:r>
      <w:r w:rsidR="009B40CA" w:rsidRPr="002166BB">
        <w:rPr>
          <w:rFonts w:ascii="Arial" w:hAnsi="Arial" w:cs="Arial"/>
          <w:color w:val="000000"/>
          <w:sz w:val="24"/>
          <w:szCs w:val="24"/>
        </w:rPr>
        <w:t>As the research has shown, i</w:t>
      </w:r>
      <w:r w:rsidR="00114CD3" w:rsidRPr="002166BB">
        <w:rPr>
          <w:rFonts w:ascii="Arial" w:hAnsi="Arial" w:cs="Arial"/>
          <w:color w:val="000000"/>
          <w:sz w:val="24"/>
          <w:szCs w:val="24"/>
        </w:rPr>
        <w:t>f we act to c</w:t>
      </w:r>
      <w:r w:rsidRPr="002166BB">
        <w:rPr>
          <w:rFonts w:ascii="Arial" w:hAnsi="Arial" w:cs="Arial"/>
          <w:color w:val="000000"/>
          <w:sz w:val="24"/>
          <w:szCs w:val="24"/>
        </w:rPr>
        <w:t>riminalis</w:t>
      </w:r>
      <w:r w:rsidR="00114CD3" w:rsidRPr="002166BB">
        <w:rPr>
          <w:rFonts w:ascii="Arial" w:hAnsi="Arial" w:cs="Arial"/>
          <w:color w:val="000000"/>
          <w:sz w:val="24"/>
          <w:szCs w:val="24"/>
        </w:rPr>
        <w:t xml:space="preserve">e </w:t>
      </w:r>
      <w:r w:rsidRPr="002166BB">
        <w:rPr>
          <w:rFonts w:ascii="Arial" w:hAnsi="Arial" w:cs="Arial"/>
          <w:color w:val="000000"/>
          <w:sz w:val="24"/>
          <w:szCs w:val="24"/>
        </w:rPr>
        <w:t xml:space="preserve">young children, </w:t>
      </w:r>
      <w:r w:rsidR="00114CD3" w:rsidRPr="002166BB">
        <w:rPr>
          <w:rFonts w:ascii="Arial" w:hAnsi="Arial" w:cs="Arial"/>
          <w:color w:val="000000"/>
          <w:sz w:val="24"/>
          <w:szCs w:val="24"/>
        </w:rPr>
        <w:t>we o</w:t>
      </w:r>
      <w:r w:rsidRPr="002166BB">
        <w:rPr>
          <w:rFonts w:ascii="Arial" w:hAnsi="Arial" w:cs="Arial"/>
          <w:color w:val="000000"/>
          <w:sz w:val="24"/>
          <w:szCs w:val="24"/>
        </w:rPr>
        <w:t>nly increas</w:t>
      </w:r>
      <w:r w:rsidR="00114CD3" w:rsidRPr="002166BB">
        <w:rPr>
          <w:rFonts w:ascii="Arial" w:hAnsi="Arial" w:cs="Arial"/>
          <w:color w:val="000000"/>
          <w:sz w:val="24"/>
          <w:szCs w:val="24"/>
        </w:rPr>
        <w:t>e</w:t>
      </w:r>
      <w:r w:rsidRPr="002166BB">
        <w:rPr>
          <w:rFonts w:ascii="Arial" w:hAnsi="Arial" w:cs="Arial"/>
          <w:color w:val="000000"/>
          <w:sz w:val="24"/>
          <w:szCs w:val="24"/>
        </w:rPr>
        <w:t xml:space="preserve"> the likelihood that they will go on to re-offend and potentially become persistent offenders.</w:t>
      </w:r>
    </w:p>
    <w:p w14:paraId="1318F67A" w14:textId="77777777" w:rsidR="009B40CA" w:rsidRPr="002166BB" w:rsidRDefault="009B40CA" w:rsidP="00927300">
      <w:pPr>
        <w:spacing w:after="0" w:line="240" w:lineRule="auto"/>
        <w:jc w:val="both"/>
        <w:rPr>
          <w:rFonts w:ascii="Arial" w:hAnsi="Arial" w:cs="Arial"/>
          <w:color w:val="000000"/>
          <w:sz w:val="24"/>
          <w:szCs w:val="24"/>
        </w:rPr>
      </w:pPr>
    </w:p>
    <w:p w14:paraId="3FB45F91" w14:textId="0B2F3812" w:rsidR="00114CD3" w:rsidRPr="002166BB" w:rsidRDefault="001C4FB4"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 xml:space="preserve">In saying that, however, victims and communities affected by anti-social or criminal behaviour carried out by children, have a right to redress. The question is not </w:t>
      </w:r>
      <w:r w:rsidRPr="002166BB">
        <w:rPr>
          <w:rFonts w:ascii="Arial" w:hAnsi="Arial" w:cs="Arial"/>
          <w:i/>
          <w:color w:val="000000"/>
          <w:sz w:val="24"/>
          <w:szCs w:val="24"/>
        </w:rPr>
        <w:t>whether</w:t>
      </w:r>
      <w:r w:rsidRPr="002166BB">
        <w:rPr>
          <w:rFonts w:ascii="Arial" w:hAnsi="Arial" w:cs="Arial"/>
          <w:color w:val="000000"/>
          <w:sz w:val="24"/>
          <w:szCs w:val="24"/>
        </w:rPr>
        <w:t xml:space="preserve"> children should be held accountable </w:t>
      </w:r>
      <w:r w:rsidR="00114CD3" w:rsidRPr="002166BB">
        <w:rPr>
          <w:rFonts w:ascii="Arial" w:hAnsi="Arial" w:cs="Arial"/>
          <w:color w:val="000000"/>
          <w:sz w:val="24"/>
          <w:szCs w:val="24"/>
        </w:rPr>
        <w:t xml:space="preserve">but </w:t>
      </w:r>
      <w:r w:rsidR="00114CD3" w:rsidRPr="002166BB">
        <w:rPr>
          <w:rFonts w:ascii="Arial" w:hAnsi="Arial" w:cs="Arial"/>
          <w:i/>
          <w:color w:val="000000"/>
          <w:sz w:val="24"/>
          <w:szCs w:val="24"/>
        </w:rPr>
        <w:t>how</w:t>
      </w:r>
      <w:r w:rsidR="00114CD3" w:rsidRPr="002166BB">
        <w:rPr>
          <w:rFonts w:ascii="Arial" w:hAnsi="Arial" w:cs="Arial"/>
          <w:color w:val="000000"/>
          <w:sz w:val="24"/>
          <w:szCs w:val="24"/>
        </w:rPr>
        <w:t xml:space="preserve"> that should b</w:t>
      </w:r>
      <w:r w:rsidR="009B40CA" w:rsidRPr="002166BB">
        <w:rPr>
          <w:rFonts w:ascii="Arial" w:hAnsi="Arial" w:cs="Arial"/>
          <w:color w:val="000000"/>
          <w:sz w:val="24"/>
          <w:szCs w:val="24"/>
        </w:rPr>
        <w:t>e achieved to maximum effect</w:t>
      </w:r>
      <w:r w:rsidR="00460845" w:rsidRPr="002166BB">
        <w:rPr>
          <w:rFonts w:ascii="Arial" w:hAnsi="Arial" w:cs="Arial"/>
          <w:color w:val="000000"/>
          <w:sz w:val="24"/>
          <w:szCs w:val="24"/>
        </w:rPr>
        <w:t>, and whether the solution requires the full weight of the criminal justice system to be effective</w:t>
      </w:r>
      <w:r w:rsidR="009B40CA" w:rsidRPr="002166BB">
        <w:rPr>
          <w:rFonts w:ascii="Arial" w:hAnsi="Arial" w:cs="Arial"/>
          <w:color w:val="000000"/>
          <w:sz w:val="24"/>
          <w:szCs w:val="24"/>
        </w:rPr>
        <w:t>.</w:t>
      </w:r>
      <w:r w:rsidR="0052294F" w:rsidRPr="002166BB">
        <w:rPr>
          <w:rFonts w:ascii="Arial" w:hAnsi="Arial" w:cs="Arial"/>
          <w:color w:val="000000"/>
          <w:sz w:val="24"/>
          <w:szCs w:val="24"/>
        </w:rPr>
        <w:t xml:space="preserve">  There is a significant difference between saying that a child aged 10 “knows right from wrong”, and saying that they should be criminalised for their behaviour.   </w:t>
      </w:r>
      <w:r w:rsidR="009B40CA" w:rsidRPr="002166BB">
        <w:rPr>
          <w:rFonts w:ascii="Arial" w:hAnsi="Arial" w:cs="Arial"/>
          <w:color w:val="000000"/>
          <w:sz w:val="24"/>
          <w:szCs w:val="24"/>
        </w:rPr>
        <w:t xml:space="preserve">   </w:t>
      </w:r>
    </w:p>
    <w:p w14:paraId="4A654BFB" w14:textId="77777777" w:rsidR="00D40D99" w:rsidRPr="002166BB" w:rsidRDefault="00D40D99" w:rsidP="00927300">
      <w:pPr>
        <w:pStyle w:val="ListParagraph"/>
        <w:jc w:val="both"/>
        <w:rPr>
          <w:rFonts w:ascii="Arial" w:hAnsi="Arial" w:cs="Arial"/>
          <w:color w:val="000000"/>
          <w:sz w:val="24"/>
          <w:szCs w:val="24"/>
        </w:rPr>
      </w:pPr>
    </w:p>
    <w:p w14:paraId="05BD4DFB" w14:textId="5D812682" w:rsidR="00D40D99" w:rsidRPr="002166BB" w:rsidRDefault="0095179B"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A</w:t>
      </w:r>
      <w:r w:rsidR="00112A82" w:rsidRPr="002166BB">
        <w:rPr>
          <w:rFonts w:ascii="Arial" w:hAnsi="Arial" w:cs="Arial"/>
          <w:color w:val="000000"/>
          <w:sz w:val="24"/>
          <w:szCs w:val="24"/>
        </w:rPr>
        <w:t xml:space="preserve">ny change in policy should be made with the best interests of the child as central to the decision.  By increasing MACR, we would be consciously ensuring that </w:t>
      </w:r>
      <w:r w:rsidR="00D40D99" w:rsidRPr="002166BB">
        <w:rPr>
          <w:rFonts w:ascii="Arial" w:hAnsi="Arial" w:cs="Arial"/>
          <w:sz w:val="24"/>
          <w:szCs w:val="24"/>
        </w:rPr>
        <w:t>offending</w:t>
      </w:r>
      <w:r w:rsidR="00112A82" w:rsidRPr="002166BB">
        <w:rPr>
          <w:rFonts w:ascii="Arial" w:hAnsi="Arial" w:cs="Arial"/>
          <w:sz w:val="24"/>
          <w:szCs w:val="24"/>
        </w:rPr>
        <w:t xml:space="preserve"> </w:t>
      </w:r>
      <w:r w:rsidR="00112A82" w:rsidRPr="002166BB">
        <w:rPr>
          <w:rFonts w:ascii="Arial" w:hAnsi="Arial" w:cs="Arial"/>
          <w:sz w:val="24"/>
          <w:szCs w:val="24"/>
        </w:rPr>
        <w:lastRenderedPageBreak/>
        <w:t>is</w:t>
      </w:r>
      <w:r w:rsidR="00D40D99" w:rsidRPr="002166BB">
        <w:rPr>
          <w:rFonts w:ascii="Arial" w:hAnsi="Arial" w:cs="Arial"/>
          <w:sz w:val="24"/>
          <w:szCs w:val="24"/>
        </w:rPr>
        <w:t xml:space="preserve"> treated as one aspect of a child’s behaviour which must be addressed</w:t>
      </w:r>
      <w:r w:rsidR="00112A82" w:rsidRPr="002166BB">
        <w:rPr>
          <w:rFonts w:ascii="Arial" w:hAnsi="Arial" w:cs="Arial"/>
          <w:sz w:val="24"/>
          <w:szCs w:val="24"/>
        </w:rPr>
        <w:t>.  It would not be considered</w:t>
      </w:r>
      <w:r w:rsidR="00D40D99" w:rsidRPr="002166BB">
        <w:rPr>
          <w:rFonts w:ascii="Arial" w:hAnsi="Arial" w:cs="Arial"/>
          <w:sz w:val="24"/>
          <w:szCs w:val="24"/>
        </w:rPr>
        <w:t xml:space="preserve"> in isolation of all the chil</w:t>
      </w:r>
      <w:r w:rsidR="00112A82" w:rsidRPr="002166BB">
        <w:rPr>
          <w:rFonts w:ascii="Arial" w:hAnsi="Arial" w:cs="Arial"/>
          <w:sz w:val="24"/>
          <w:szCs w:val="24"/>
        </w:rPr>
        <w:t>d’s other needs, whether that includes</w:t>
      </w:r>
      <w:r w:rsidR="0052294F" w:rsidRPr="002166BB">
        <w:rPr>
          <w:rFonts w:ascii="Arial" w:hAnsi="Arial" w:cs="Arial"/>
          <w:sz w:val="24"/>
          <w:szCs w:val="24"/>
        </w:rPr>
        <w:t>, for example,</w:t>
      </w:r>
      <w:r w:rsidR="00D40D99" w:rsidRPr="002166BB">
        <w:rPr>
          <w:rFonts w:ascii="Arial" w:hAnsi="Arial" w:cs="Arial"/>
          <w:sz w:val="24"/>
          <w:szCs w:val="24"/>
        </w:rPr>
        <w:t xml:space="preserve"> a safe and supportive environment in which to grow up or support for mental health needs.  </w:t>
      </w:r>
      <w:r w:rsidR="00112A82" w:rsidRPr="002166BB">
        <w:rPr>
          <w:rFonts w:ascii="Arial" w:hAnsi="Arial" w:cs="Arial"/>
          <w:sz w:val="24"/>
          <w:szCs w:val="24"/>
        </w:rPr>
        <w:t xml:space="preserve"> </w:t>
      </w:r>
    </w:p>
    <w:p w14:paraId="05C30ED4" w14:textId="77777777" w:rsidR="009B40CA" w:rsidRPr="002166BB" w:rsidRDefault="009B40CA" w:rsidP="00927300">
      <w:pPr>
        <w:spacing w:after="0" w:line="240" w:lineRule="auto"/>
        <w:jc w:val="both"/>
        <w:rPr>
          <w:rFonts w:ascii="Arial" w:hAnsi="Arial" w:cs="Arial"/>
          <w:color w:val="000000"/>
          <w:sz w:val="24"/>
          <w:szCs w:val="24"/>
        </w:rPr>
      </w:pPr>
    </w:p>
    <w:p w14:paraId="271C83A1" w14:textId="77777777" w:rsidR="00114CD3" w:rsidRPr="002166BB" w:rsidRDefault="00114CD3"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Those countries which have adopted a higher MACR, such as Norway and Denmark, where the minimum age is 15 year</w:t>
      </w:r>
      <w:r w:rsidR="003A6B76" w:rsidRPr="002166BB">
        <w:rPr>
          <w:rFonts w:ascii="Arial" w:hAnsi="Arial" w:cs="Arial"/>
          <w:color w:val="000000"/>
          <w:sz w:val="24"/>
          <w:szCs w:val="24"/>
        </w:rPr>
        <w:t>s, have embraced a welfare-orientated</w:t>
      </w:r>
      <w:r w:rsidRPr="002166BB">
        <w:rPr>
          <w:rFonts w:ascii="Arial" w:hAnsi="Arial" w:cs="Arial"/>
          <w:color w:val="000000"/>
          <w:sz w:val="24"/>
          <w:szCs w:val="24"/>
        </w:rPr>
        <w:t xml:space="preserve"> approach to </w:t>
      </w:r>
      <w:r w:rsidR="00D55F2F" w:rsidRPr="002166BB">
        <w:rPr>
          <w:rFonts w:ascii="Arial" w:hAnsi="Arial" w:cs="Arial"/>
          <w:color w:val="000000"/>
          <w:sz w:val="24"/>
          <w:szCs w:val="24"/>
        </w:rPr>
        <w:t xml:space="preserve">tackling </w:t>
      </w:r>
      <w:r w:rsidRPr="002166BB">
        <w:rPr>
          <w:rFonts w:ascii="Arial" w:hAnsi="Arial" w:cs="Arial"/>
          <w:color w:val="000000"/>
          <w:sz w:val="24"/>
          <w:szCs w:val="24"/>
        </w:rPr>
        <w:t>o</w:t>
      </w:r>
      <w:r w:rsidR="003A6B76" w:rsidRPr="002166BB">
        <w:rPr>
          <w:rFonts w:ascii="Arial" w:hAnsi="Arial" w:cs="Arial"/>
          <w:color w:val="000000"/>
          <w:sz w:val="24"/>
          <w:szCs w:val="24"/>
        </w:rPr>
        <w:t xml:space="preserve">ffending behaviour by children.  </w:t>
      </w:r>
      <w:r w:rsidR="00D55F2F" w:rsidRPr="002166BB">
        <w:rPr>
          <w:rFonts w:ascii="Arial" w:hAnsi="Arial" w:cs="Arial"/>
          <w:color w:val="000000"/>
          <w:sz w:val="24"/>
          <w:szCs w:val="24"/>
        </w:rPr>
        <w:t>In practice, this involve</w:t>
      </w:r>
      <w:r w:rsidR="000A0285" w:rsidRPr="002166BB">
        <w:rPr>
          <w:rFonts w:ascii="Arial" w:hAnsi="Arial" w:cs="Arial"/>
          <w:color w:val="000000"/>
          <w:sz w:val="24"/>
          <w:szCs w:val="24"/>
        </w:rPr>
        <w:t>s</w:t>
      </w:r>
      <w:r w:rsidR="00D55F2F" w:rsidRPr="002166BB">
        <w:rPr>
          <w:rFonts w:ascii="Arial" w:hAnsi="Arial" w:cs="Arial"/>
          <w:color w:val="000000"/>
          <w:sz w:val="24"/>
          <w:szCs w:val="24"/>
        </w:rPr>
        <w:t xml:space="preserve"> the child becoming the responsibility of social services </w:t>
      </w:r>
      <w:r w:rsidR="000A0285" w:rsidRPr="002166BB">
        <w:rPr>
          <w:rFonts w:ascii="Arial" w:hAnsi="Arial" w:cs="Arial"/>
          <w:color w:val="000000"/>
          <w:sz w:val="24"/>
          <w:szCs w:val="24"/>
        </w:rPr>
        <w:t>with t</w:t>
      </w:r>
      <w:r w:rsidR="00D55F2F" w:rsidRPr="002166BB">
        <w:rPr>
          <w:rFonts w:ascii="Arial" w:hAnsi="Arial" w:cs="Arial"/>
          <w:color w:val="000000"/>
          <w:sz w:val="24"/>
          <w:szCs w:val="24"/>
        </w:rPr>
        <w:t xml:space="preserve">he focus </w:t>
      </w:r>
      <w:r w:rsidR="000A0285" w:rsidRPr="002166BB">
        <w:rPr>
          <w:rFonts w:ascii="Arial" w:hAnsi="Arial" w:cs="Arial"/>
          <w:color w:val="000000"/>
          <w:sz w:val="24"/>
          <w:szCs w:val="24"/>
        </w:rPr>
        <w:t xml:space="preserve">being </w:t>
      </w:r>
      <w:r w:rsidR="00D55F2F" w:rsidRPr="002166BB">
        <w:rPr>
          <w:rFonts w:ascii="Arial" w:hAnsi="Arial" w:cs="Arial"/>
          <w:color w:val="000000"/>
          <w:sz w:val="24"/>
          <w:szCs w:val="24"/>
        </w:rPr>
        <w:t>on supporting the child and his/her family t</w:t>
      </w:r>
      <w:r w:rsidR="009B40CA" w:rsidRPr="002166BB">
        <w:rPr>
          <w:rFonts w:ascii="Arial" w:hAnsi="Arial" w:cs="Arial"/>
          <w:color w:val="000000"/>
          <w:sz w:val="24"/>
          <w:szCs w:val="24"/>
        </w:rPr>
        <w:t>o address the underlying issues which the offending behaviour displays.  Not only does this allow for the child’s often complex needs to be met, but it also provides an opportunity for them to repair harm they have caused and re-engage in normal society.</w:t>
      </w:r>
    </w:p>
    <w:p w14:paraId="0BF27C33" w14:textId="77777777" w:rsidR="009B40CA" w:rsidRPr="002166BB" w:rsidRDefault="009B40CA" w:rsidP="00927300">
      <w:pPr>
        <w:spacing w:after="0" w:line="240" w:lineRule="auto"/>
        <w:jc w:val="both"/>
        <w:rPr>
          <w:rFonts w:ascii="Arial" w:hAnsi="Arial" w:cs="Arial"/>
          <w:color w:val="000000"/>
          <w:sz w:val="24"/>
          <w:szCs w:val="24"/>
        </w:rPr>
      </w:pPr>
    </w:p>
    <w:p w14:paraId="709379A8" w14:textId="11D5B1E2" w:rsidR="003A6B76" w:rsidRPr="002166BB" w:rsidRDefault="003A6B76"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 xml:space="preserve">In Northern Ireland, Children’s Diversion Forums have recently been </w:t>
      </w:r>
      <w:r w:rsidR="00D55F2F" w:rsidRPr="002166BB">
        <w:rPr>
          <w:rFonts w:ascii="Arial" w:hAnsi="Arial" w:cs="Arial"/>
          <w:color w:val="000000"/>
          <w:sz w:val="24"/>
          <w:szCs w:val="24"/>
        </w:rPr>
        <w:t>rolled out across th</w:t>
      </w:r>
      <w:r w:rsidRPr="002166BB">
        <w:rPr>
          <w:rFonts w:ascii="Arial" w:hAnsi="Arial" w:cs="Arial"/>
          <w:color w:val="000000"/>
          <w:sz w:val="24"/>
          <w:szCs w:val="24"/>
        </w:rPr>
        <w:t xml:space="preserve">e region.  The overall aim of </w:t>
      </w:r>
      <w:r w:rsidR="00D55F2F" w:rsidRPr="002166BB">
        <w:rPr>
          <w:rFonts w:ascii="Arial" w:hAnsi="Arial" w:cs="Arial"/>
          <w:color w:val="000000"/>
          <w:sz w:val="24"/>
          <w:szCs w:val="24"/>
        </w:rPr>
        <w:t>these</w:t>
      </w:r>
      <w:r w:rsidRPr="002166BB">
        <w:rPr>
          <w:rFonts w:ascii="Arial" w:hAnsi="Arial" w:cs="Arial"/>
          <w:color w:val="000000"/>
          <w:sz w:val="24"/>
          <w:szCs w:val="24"/>
        </w:rPr>
        <w:t xml:space="preserve"> Forums is to help divert children from the formal justice system through more coordinated </w:t>
      </w:r>
      <w:r w:rsidR="00D55F2F" w:rsidRPr="002166BB">
        <w:rPr>
          <w:rFonts w:ascii="Arial" w:hAnsi="Arial" w:cs="Arial"/>
          <w:color w:val="000000"/>
          <w:sz w:val="24"/>
          <w:szCs w:val="24"/>
        </w:rPr>
        <w:t>identification</w:t>
      </w:r>
      <w:r w:rsidRPr="002166BB">
        <w:rPr>
          <w:rFonts w:ascii="Arial" w:hAnsi="Arial" w:cs="Arial"/>
          <w:color w:val="000000"/>
          <w:sz w:val="24"/>
          <w:szCs w:val="24"/>
        </w:rPr>
        <w:t xml:space="preserve">, information sharing, assessment, intervention and review of children involved in low level </w:t>
      </w:r>
      <w:r w:rsidR="00D55F2F" w:rsidRPr="002166BB">
        <w:rPr>
          <w:rFonts w:ascii="Arial" w:hAnsi="Arial" w:cs="Arial"/>
          <w:color w:val="000000"/>
          <w:sz w:val="24"/>
          <w:szCs w:val="24"/>
        </w:rPr>
        <w:t>offending and/</w:t>
      </w:r>
      <w:r w:rsidRPr="002166BB">
        <w:rPr>
          <w:rFonts w:ascii="Arial" w:hAnsi="Arial" w:cs="Arial"/>
          <w:color w:val="000000"/>
          <w:sz w:val="24"/>
          <w:szCs w:val="24"/>
        </w:rPr>
        <w:t xml:space="preserve">or antisocial behaviour. </w:t>
      </w:r>
      <w:r w:rsidR="0052294F" w:rsidRPr="002166BB">
        <w:rPr>
          <w:rFonts w:ascii="Arial" w:hAnsi="Arial" w:cs="Arial"/>
          <w:color w:val="000000"/>
          <w:sz w:val="24"/>
          <w:szCs w:val="24"/>
        </w:rPr>
        <w:t xml:space="preserve"> </w:t>
      </w:r>
      <w:r w:rsidRPr="002166BB">
        <w:rPr>
          <w:rFonts w:ascii="Arial" w:hAnsi="Arial" w:cs="Arial"/>
          <w:color w:val="000000"/>
          <w:sz w:val="24"/>
          <w:szCs w:val="24"/>
        </w:rPr>
        <w:t xml:space="preserve">Panels are chaired and administered by </w:t>
      </w:r>
      <w:r w:rsidR="00D55F2F" w:rsidRPr="002166BB">
        <w:rPr>
          <w:rFonts w:ascii="Arial" w:hAnsi="Arial" w:cs="Arial"/>
          <w:color w:val="000000"/>
          <w:sz w:val="24"/>
          <w:szCs w:val="24"/>
        </w:rPr>
        <w:t xml:space="preserve">the </w:t>
      </w:r>
      <w:r w:rsidRPr="002166BB">
        <w:rPr>
          <w:rFonts w:ascii="Arial" w:hAnsi="Arial" w:cs="Arial"/>
          <w:color w:val="000000"/>
          <w:sz w:val="24"/>
          <w:szCs w:val="24"/>
        </w:rPr>
        <w:lastRenderedPageBreak/>
        <w:t>Y</w:t>
      </w:r>
      <w:r w:rsidR="00D55F2F" w:rsidRPr="002166BB">
        <w:rPr>
          <w:rFonts w:ascii="Arial" w:hAnsi="Arial" w:cs="Arial"/>
          <w:color w:val="000000"/>
          <w:sz w:val="24"/>
          <w:szCs w:val="24"/>
        </w:rPr>
        <w:t xml:space="preserve">outh </w:t>
      </w:r>
      <w:r w:rsidRPr="002166BB">
        <w:rPr>
          <w:rFonts w:ascii="Arial" w:hAnsi="Arial" w:cs="Arial"/>
          <w:color w:val="000000"/>
          <w:sz w:val="24"/>
          <w:szCs w:val="24"/>
        </w:rPr>
        <w:t>J</w:t>
      </w:r>
      <w:r w:rsidR="00D55F2F" w:rsidRPr="002166BB">
        <w:rPr>
          <w:rFonts w:ascii="Arial" w:hAnsi="Arial" w:cs="Arial"/>
          <w:color w:val="000000"/>
          <w:sz w:val="24"/>
          <w:szCs w:val="24"/>
        </w:rPr>
        <w:t xml:space="preserve">ustice </w:t>
      </w:r>
      <w:r w:rsidRPr="002166BB">
        <w:rPr>
          <w:rFonts w:ascii="Arial" w:hAnsi="Arial" w:cs="Arial"/>
          <w:color w:val="000000"/>
          <w:sz w:val="24"/>
          <w:szCs w:val="24"/>
        </w:rPr>
        <w:t>A</w:t>
      </w:r>
      <w:r w:rsidR="00D55F2F" w:rsidRPr="002166BB">
        <w:rPr>
          <w:rFonts w:ascii="Arial" w:hAnsi="Arial" w:cs="Arial"/>
          <w:color w:val="000000"/>
          <w:sz w:val="24"/>
          <w:szCs w:val="24"/>
        </w:rPr>
        <w:t>gency</w:t>
      </w:r>
      <w:r w:rsidRPr="002166BB">
        <w:rPr>
          <w:rFonts w:ascii="Arial" w:hAnsi="Arial" w:cs="Arial"/>
          <w:color w:val="000000"/>
          <w:sz w:val="24"/>
          <w:szCs w:val="24"/>
        </w:rPr>
        <w:t>, and also include representatives from PSNI</w:t>
      </w:r>
      <w:r w:rsidR="00D55F2F" w:rsidRPr="002166BB">
        <w:rPr>
          <w:rFonts w:ascii="Arial" w:hAnsi="Arial" w:cs="Arial"/>
          <w:color w:val="000000"/>
          <w:sz w:val="24"/>
          <w:szCs w:val="24"/>
        </w:rPr>
        <w:t>, Social Services and the Education Authority.</w:t>
      </w:r>
      <w:r w:rsidRPr="002166BB">
        <w:rPr>
          <w:rFonts w:ascii="Arial" w:hAnsi="Arial" w:cs="Arial"/>
          <w:color w:val="000000"/>
          <w:sz w:val="24"/>
          <w:szCs w:val="24"/>
        </w:rPr>
        <w:t xml:space="preserve"> </w:t>
      </w:r>
      <w:r w:rsidR="00D55F2F" w:rsidRPr="002166BB">
        <w:rPr>
          <w:rFonts w:ascii="Arial" w:hAnsi="Arial" w:cs="Arial"/>
          <w:color w:val="000000"/>
          <w:sz w:val="24"/>
          <w:szCs w:val="24"/>
        </w:rPr>
        <w:t xml:space="preserve"> Partner</w:t>
      </w:r>
      <w:r w:rsidRPr="002166BB">
        <w:rPr>
          <w:rFonts w:ascii="Arial" w:hAnsi="Arial" w:cs="Arial"/>
          <w:color w:val="000000"/>
          <w:sz w:val="24"/>
          <w:szCs w:val="24"/>
        </w:rPr>
        <w:t xml:space="preserve"> organisations can take appropriate referrals from the panel, or provide the conduit between the children and his/her family and other services provided by the statutory, voluntary and/or community sectors.</w:t>
      </w:r>
      <w:r w:rsidR="00D55F2F" w:rsidRPr="002166BB">
        <w:rPr>
          <w:rFonts w:ascii="Arial" w:hAnsi="Arial" w:cs="Arial"/>
          <w:color w:val="000000"/>
          <w:sz w:val="24"/>
          <w:szCs w:val="24"/>
        </w:rPr>
        <w:t xml:space="preserve">  </w:t>
      </w:r>
      <w:r w:rsidR="00460845" w:rsidRPr="002166BB">
        <w:rPr>
          <w:rFonts w:ascii="Arial" w:hAnsi="Arial" w:cs="Arial"/>
          <w:color w:val="000000"/>
          <w:sz w:val="24"/>
          <w:szCs w:val="24"/>
        </w:rPr>
        <w:t>We believe t</w:t>
      </w:r>
      <w:r w:rsidR="00D55F2F" w:rsidRPr="002166BB">
        <w:rPr>
          <w:rFonts w:ascii="Arial" w:hAnsi="Arial" w:cs="Arial"/>
          <w:color w:val="000000"/>
          <w:sz w:val="24"/>
          <w:szCs w:val="24"/>
        </w:rPr>
        <w:t xml:space="preserve">hese </w:t>
      </w:r>
      <w:r w:rsidR="000A0285" w:rsidRPr="002166BB">
        <w:rPr>
          <w:rFonts w:ascii="Arial" w:hAnsi="Arial" w:cs="Arial"/>
          <w:color w:val="000000"/>
          <w:sz w:val="24"/>
          <w:szCs w:val="24"/>
        </w:rPr>
        <w:t>forums</w:t>
      </w:r>
      <w:r w:rsidR="00460845" w:rsidRPr="002166BB">
        <w:rPr>
          <w:rFonts w:ascii="Arial" w:hAnsi="Arial" w:cs="Arial"/>
          <w:color w:val="000000"/>
          <w:sz w:val="24"/>
          <w:szCs w:val="24"/>
        </w:rPr>
        <w:t>, or a similar approach,</w:t>
      </w:r>
      <w:r w:rsidR="000A0285" w:rsidRPr="002166BB">
        <w:rPr>
          <w:rFonts w:ascii="Arial" w:hAnsi="Arial" w:cs="Arial"/>
          <w:color w:val="000000"/>
          <w:sz w:val="24"/>
          <w:szCs w:val="24"/>
        </w:rPr>
        <w:t xml:space="preserve"> </w:t>
      </w:r>
      <w:r w:rsidR="00460845" w:rsidRPr="002166BB">
        <w:rPr>
          <w:rFonts w:ascii="Arial" w:hAnsi="Arial" w:cs="Arial"/>
          <w:color w:val="000000"/>
          <w:sz w:val="24"/>
          <w:szCs w:val="24"/>
        </w:rPr>
        <w:t>could</w:t>
      </w:r>
      <w:r w:rsidR="00AB1E80" w:rsidRPr="002166BB">
        <w:rPr>
          <w:rFonts w:ascii="Arial" w:hAnsi="Arial" w:cs="Arial"/>
          <w:color w:val="000000"/>
          <w:sz w:val="24"/>
          <w:szCs w:val="24"/>
        </w:rPr>
        <w:t xml:space="preserve"> provide an appropriate framework within which probl</w:t>
      </w:r>
      <w:r w:rsidR="000A0285" w:rsidRPr="002166BB">
        <w:rPr>
          <w:rFonts w:ascii="Arial" w:hAnsi="Arial" w:cs="Arial"/>
          <w:color w:val="000000"/>
          <w:sz w:val="24"/>
          <w:szCs w:val="24"/>
        </w:rPr>
        <w:t xml:space="preserve">em behaviour displayed by children who fall </w:t>
      </w:r>
      <w:r w:rsidR="00AB1E80" w:rsidRPr="002166BB">
        <w:rPr>
          <w:rFonts w:ascii="Arial" w:hAnsi="Arial" w:cs="Arial"/>
          <w:color w:val="000000"/>
          <w:sz w:val="24"/>
          <w:szCs w:val="24"/>
        </w:rPr>
        <w:t>under the new MACR c</w:t>
      </w:r>
      <w:r w:rsidR="00790106">
        <w:rPr>
          <w:rFonts w:ascii="Arial" w:hAnsi="Arial" w:cs="Arial"/>
          <w:color w:val="000000"/>
          <w:sz w:val="24"/>
          <w:szCs w:val="24"/>
        </w:rPr>
        <w:t>ould</w:t>
      </w:r>
      <w:r w:rsidR="00AB1E80" w:rsidRPr="002166BB">
        <w:rPr>
          <w:rFonts w:ascii="Arial" w:hAnsi="Arial" w:cs="Arial"/>
          <w:color w:val="000000"/>
          <w:sz w:val="24"/>
          <w:szCs w:val="24"/>
        </w:rPr>
        <w:t xml:space="preserve"> be addressed.</w:t>
      </w:r>
    </w:p>
    <w:p w14:paraId="78521E7D" w14:textId="774829FA" w:rsidR="00DD2E6E" w:rsidRPr="002166BB" w:rsidRDefault="00DD2E6E" w:rsidP="00927300">
      <w:pPr>
        <w:spacing w:after="0" w:line="240" w:lineRule="auto"/>
        <w:jc w:val="both"/>
        <w:rPr>
          <w:rFonts w:ascii="Arial" w:hAnsi="Arial" w:cs="Arial"/>
          <w:color w:val="000000"/>
          <w:sz w:val="24"/>
          <w:szCs w:val="24"/>
        </w:rPr>
      </w:pPr>
    </w:p>
    <w:p w14:paraId="585EE60B" w14:textId="6AF6C4BF" w:rsidR="0004693F" w:rsidRPr="002166BB" w:rsidRDefault="00225713"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The main concern raised by those who are opposed to increasing MACR</w:t>
      </w:r>
      <w:r w:rsidR="0004693F" w:rsidRPr="002166BB">
        <w:rPr>
          <w:rFonts w:ascii="Arial" w:hAnsi="Arial" w:cs="Arial"/>
          <w:color w:val="000000"/>
          <w:sz w:val="24"/>
          <w:szCs w:val="24"/>
        </w:rPr>
        <w:t xml:space="preserve"> </w:t>
      </w:r>
      <w:r w:rsidRPr="002166BB">
        <w:rPr>
          <w:rFonts w:ascii="Arial" w:hAnsi="Arial" w:cs="Arial"/>
          <w:color w:val="000000"/>
          <w:sz w:val="24"/>
          <w:szCs w:val="24"/>
        </w:rPr>
        <w:t xml:space="preserve">is </w:t>
      </w:r>
      <w:r w:rsidR="00FB0E89">
        <w:rPr>
          <w:rFonts w:ascii="Arial" w:hAnsi="Arial" w:cs="Arial"/>
          <w:color w:val="000000"/>
          <w:sz w:val="24"/>
          <w:szCs w:val="24"/>
        </w:rPr>
        <w:t xml:space="preserve">how </w:t>
      </w:r>
      <w:r w:rsidR="0004693F" w:rsidRPr="002166BB">
        <w:rPr>
          <w:rFonts w:ascii="Arial" w:hAnsi="Arial" w:cs="Arial"/>
          <w:color w:val="000000"/>
          <w:sz w:val="24"/>
          <w:szCs w:val="24"/>
        </w:rPr>
        <w:t>we then address s</w:t>
      </w:r>
      <w:r w:rsidRPr="002166BB">
        <w:rPr>
          <w:rFonts w:ascii="Arial" w:hAnsi="Arial" w:cs="Arial"/>
          <w:color w:val="000000"/>
          <w:sz w:val="24"/>
          <w:szCs w:val="24"/>
        </w:rPr>
        <w:t>erious violent crime</w:t>
      </w:r>
      <w:r w:rsidR="0004693F" w:rsidRPr="002166BB">
        <w:rPr>
          <w:rFonts w:ascii="Arial" w:hAnsi="Arial" w:cs="Arial"/>
          <w:color w:val="000000"/>
          <w:sz w:val="24"/>
          <w:szCs w:val="24"/>
        </w:rPr>
        <w:t>s</w:t>
      </w:r>
      <w:r w:rsidRPr="002166BB">
        <w:rPr>
          <w:rFonts w:ascii="Arial" w:hAnsi="Arial" w:cs="Arial"/>
          <w:color w:val="000000"/>
          <w:sz w:val="24"/>
          <w:szCs w:val="24"/>
        </w:rPr>
        <w:t xml:space="preserve">, such as murder, </w:t>
      </w:r>
      <w:r w:rsidR="0004693F" w:rsidRPr="002166BB">
        <w:rPr>
          <w:rFonts w:ascii="Arial" w:hAnsi="Arial" w:cs="Arial"/>
          <w:color w:val="000000"/>
          <w:sz w:val="24"/>
          <w:szCs w:val="24"/>
        </w:rPr>
        <w:t xml:space="preserve">when they are committed </w:t>
      </w:r>
      <w:r w:rsidRPr="002166BB">
        <w:rPr>
          <w:rFonts w:ascii="Arial" w:hAnsi="Arial" w:cs="Arial"/>
          <w:color w:val="000000"/>
          <w:sz w:val="24"/>
          <w:szCs w:val="24"/>
        </w:rPr>
        <w:t xml:space="preserve">by a child. </w:t>
      </w:r>
      <w:r w:rsidR="0004693F" w:rsidRPr="002166BB">
        <w:rPr>
          <w:rFonts w:ascii="Arial" w:hAnsi="Arial" w:cs="Arial"/>
          <w:color w:val="000000"/>
          <w:sz w:val="24"/>
          <w:szCs w:val="24"/>
        </w:rPr>
        <w:t xml:space="preserve"> Rare, high profile murder cases involving children have been much publicised in the media and </w:t>
      </w:r>
      <w:r w:rsidR="005024F6" w:rsidRPr="002166BB">
        <w:rPr>
          <w:rFonts w:ascii="Arial" w:hAnsi="Arial" w:cs="Arial"/>
          <w:color w:val="000000"/>
          <w:sz w:val="24"/>
          <w:szCs w:val="24"/>
        </w:rPr>
        <w:t>this has</w:t>
      </w:r>
      <w:r w:rsidR="0004693F" w:rsidRPr="002166BB">
        <w:rPr>
          <w:rFonts w:ascii="Arial" w:hAnsi="Arial" w:cs="Arial"/>
          <w:color w:val="000000"/>
          <w:sz w:val="24"/>
          <w:szCs w:val="24"/>
        </w:rPr>
        <w:t xml:space="preserve"> contributed to a culture of fear and the adoption of a tougher stance on crimes by children, meaning that many children have ended up paying a high price as a result of the actions of a tiny minority.</w:t>
      </w:r>
    </w:p>
    <w:p w14:paraId="4BAC1E18" w14:textId="77777777" w:rsidR="0004693F" w:rsidRPr="002166BB" w:rsidRDefault="0004693F" w:rsidP="00C41CBD">
      <w:pPr>
        <w:spacing w:after="0" w:line="240" w:lineRule="auto"/>
        <w:jc w:val="both"/>
        <w:rPr>
          <w:rFonts w:ascii="Arial" w:hAnsi="Arial" w:cs="Arial"/>
          <w:color w:val="000000"/>
          <w:sz w:val="24"/>
          <w:szCs w:val="24"/>
        </w:rPr>
      </w:pPr>
    </w:p>
    <w:p w14:paraId="250B605A" w14:textId="20E1538A" w:rsidR="00AB1E80" w:rsidRPr="002166BB" w:rsidRDefault="005024F6"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Examples such as the tragic James Bulger case have been cited as a re</w:t>
      </w:r>
      <w:r w:rsidR="003F0996" w:rsidRPr="002166BB">
        <w:rPr>
          <w:rFonts w:ascii="Arial" w:hAnsi="Arial" w:cs="Arial"/>
          <w:color w:val="000000"/>
          <w:sz w:val="24"/>
          <w:szCs w:val="24"/>
        </w:rPr>
        <w:t>ason not to increase MACR</w:t>
      </w:r>
      <w:r w:rsidRPr="002166BB">
        <w:rPr>
          <w:rFonts w:ascii="Arial" w:hAnsi="Arial" w:cs="Arial"/>
          <w:color w:val="000000"/>
          <w:sz w:val="24"/>
          <w:szCs w:val="24"/>
        </w:rPr>
        <w:t xml:space="preserve"> i</w:t>
      </w:r>
      <w:r w:rsidR="00225713" w:rsidRPr="002166BB">
        <w:rPr>
          <w:rFonts w:ascii="Arial" w:hAnsi="Arial" w:cs="Arial"/>
          <w:color w:val="000000"/>
          <w:sz w:val="24"/>
          <w:szCs w:val="24"/>
        </w:rPr>
        <w:t>n Northern Ireland</w:t>
      </w:r>
      <w:r w:rsidRPr="002166BB">
        <w:rPr>
          <w:rFonts w:ascii="Arial" w:hAnsi="Arial" w:cs="Arial"/>
          <w:color w:val="000000"/>
          <w:sz w:val="24"/>
          <w:szCs w:val="24"/>
        </w:rPr>
        <w:t>.  This is despite the fact that,</w:t>
      </w:r>
      <w:r w:rsidR="00225713" w:rsidRPr="002166BB">
        <w:rPr>
          <w:rFonts w:ascii="Arial" w:hAnsi="Arial" w:cs="Arial"/>
          <w:color w:val="000000"/>
          <w:sz w:val="24"/>
          <w:szCs w:val="24"/>
        </w:rPr>
        <w:t xml:space="preserve"> to date, </w:t>
      </w:r>
      <w:r w:rsidRPr="002166BB">
        <w:rPr>
          <w:rFonts w:ascii="Arial" w:hAnsi="Arial" w:cs="Arial"/>
          <w:color w:val="000000"/>
          <w:sz w:val="24"/>
          <w:szCs w:val="24"/>
        </w:rPr>
        <w:t xml:space="preserve">we have </w:t>
      </w:r>
      <w:r w:rsidR="00225713" w:rsidRPr="002166BB">
        <w:rPr>
          <w:rFonts w:ascii="Arial" w:hAnsi="Arial" w:cs="Arial"/>
          <w:color w:val="000000"/>
          <w:sz w:val="24"/>
          <w:szCs w:val="24"/>
        </w:rPr>
        <w:t xml:space="preserve">never </w:t>
      </w:r>
      <w:r w:rsidRPr="002166BB">
        <w:rPr>
          <w:rFonts w:ascii="Arial" w:hAnsi="Arial" w:cs="Arial"/>
          <w:color w:val="000000"/>
          <w:sz w:val="24"/>
          <w:szCs w:val="24"/>
        </w:rPr>
        <w:t xml:space="preserve">had a </w:t>
      </w:r>
      <w:r w:rsidR="00225713" w:rsidRPr="002166BB">
        <w:rPr>
          <w:rFonts w:ascii="Arial" w:hAnsi="Arial" w:cs="Arial"/>
          <w:color w:val="000000"/>
          <w:sz w:val="24"/>
          <w:szCs w:val="24"/>
        </w:rPr>
        <w:t xml:space="preserve">case where a child under 14 years of age has </w:t>
      </w:r>
      <w:r w:rsidR="00225713" w:rsidRPr="002166BB">
        <w:rPr>
          <w:rFonts w:ascii="Arial" w:hAnsi="Arial" w:cs="Arial"/>
          <w:color w:val="000000"/>
          <w:sz w:val="24"/>
          <w:szCs w:val="24"/>
        </w:rPr>
        <w:lastRenderedPageBreak/>
        <w:t xml:space="preserve">been </w:t>
      </w:r>
      <w:r w:rsidR="00A97CD2" w:rsidRPr="002166BB">
        <w:rPr>
          <w:rFonts w:ascii="Arial" w:hAnsi="Arial" w:cs="Arial"/>
          <w:color w:val="000000"/>
          <w:sz w:val="24"/>
          <w:szCs w:val="24"/>
        </w:rPr>
        <w:t>sentenced for</w:t>
      </w:r>
      <w:r w:rsidR="001B7299" w:rsidRPr="002166BB">
        <w:rPr>
          <w:rFonts w:ascii="Arial" w:hAnsi="Arial" w:cs="Arial"/>
          <w:color w:val="000000"/>
          <w:sz w:val="24"/>
          <w:szCs w:val="24"/>
        </w:rPr>
        <w:t xml:space="preserve"> murder</w:t>
      </w:r>
      <w:r w:rsidRPr="002166BB">
        <w:rPr>
          <w:rFonts w:ascii="Arial" w:hAnsi="Arial" w:cs="Arial"/>
          <w:color w:val="000000"/>
          <w:sz w:val="24"/>
          <w:szCs w:val="24"/>
        </w:rPr>
        <w:t xml:space="preserve">.  </w:t>
      </w:r>
      <w:r w:rsidR="00A97CD2" w:rsidRPr="002166BB">
        <w:rPr>
          <w:rFonts w:ascii="Arial" w:hAnsi="Arial" w:cs="Arial"/>
          <w:color w:val="000000"/>
          <w:sz w:val="24"/>
          <w:szCs w:val="24"/>
        </w:rPr>
        <w:t>That said,</w:t>
      </w:r>
      <w:r w:rsidRPr="002166BB">
        <w:rPr>
          <w:rFonts w:ascii="Arial" w:hAnsi="Arial" w:cs="Arial"/>
          <w:color w:val="000000"/>
          <w:sz w:val="24"/>
          <w:szCs w:val="24"/>
        </w:rPr>
        <w:t xml:space="preserve"> we cannot definitively say that it </w:t>
      </w:r>
      <w:r w:rsidR="00A97CD2" w:rsidRPr="002166BB">
        <w:rPr>
          <w:rFonts w:ascii="Arial" w:hAnsi="Arial" w:cs="Arial"/>
          <w:color w:val="000000"/>
          <w:sz w:val="24"/>
          <w:szCs w:val="24"/>
        </w:rPr>
        <w:t>c</w:t>
      </w:r>
      <w:r w:rsidRPr="002166BB">
        <w:rPr>
          <w:rFonts w:ascii="Arial" w:hAnsi="Arial" w:cs="Arial"/>
          <w:color w:val="000000"/>
          <w:sz w:val="24"/>
          <w:szCs w:val="24"/>
        </w:rPr>
        <w:t>ould never happen</w:t>
      </w:r>
      <w:r w:rsidR="001B7299" w:rsidRPr="002166BB">
        <w:rPr>
          <w:rFonts w:ascii="Arial" w:hAnsi="Arial" w:cs="Arial"/>
          <w:color w:val="000000"/>
          <w:sz w:val="24"/>
          <w:szCs w:val="24"/>
        </w:rPr>
        <w:t>.</w:t>
      </w:r>
      <w:r w:rsidRPr="002166BB">
        <w:rPr>
          <w:rFonts w:ascii="Arial" w:hAnsi="Arial" w:cs="Arial"/>
          <w:color w:val="000000"/>
          <w:sz w:val="24"/>
          <w:szCs w:val="24"/>
        </w:rPr>
        <w:t xml:space="preserve">    </w:t>
      </w:r>
    </w:p>
    <w:p w14:paraId="3288207D" w14:textId="77777777" w:rsidR="00A91143" w:rsidRPr="002166BB" w:rsidRDefault="00A91143" w:rsidP="00C41CBD">
      <w:pPr>
        <w:pStyle w:val="ListParagraph"/>
        <w:spacing w:after="0" w:line="240" w:lineRule="auto"/>
        <w:jc w:val="both"/>
        <w:rPr>
          <w:rFonts w:ascii="Arial" w:hAnsi="Arial" w:cs="Arial"/>
          <w:color w:val="000000"/>
          <w:sz w:val="24"/>
          <w:szCs w:val="24"/>
        </w:rPr>
      </w:pPr>
    </w:p>
    <w:p w14:paraId="4EDDEADE" w14:textId="58F29648" w:rsidR="00A91143" w:rsidRPr="002166BB" w:rsidRDefault="00A91143"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In considering whether MACR should be increased, it is worth taking account of the view that policy and legislation should not be based on exceptional cases.  Instead, any significant changes should reflect the reality of what is happening in practice; the best interests of the child; and our statutory responsibilities and international commitments.</w:t>
      </w:r>
    </w:p>
    <w:p w14:paraId="407C2A2C" w14:textId="77777777" w:rsidR="003F0996" w:rsidRPr="002166BB" w:rsidRDefault="003F0996" w:rsidP="00C41CBD">
      <w:pPr>
        <w:spacing w:after="0" w:line="240" w:lineRule="auto"/>
        <w:jc w:val="both"/>
        <w:rPr>
          <w:rFonts w:ascii="Arial" w:hAnsi="Arial" w:cs="Arial"/>
          <w:color w:val="000000"/>
          <w:sz w:val="24"/>
          <w:szCs w:val="24"/>
        </w:rPr>
      </w:pPr>
    </w:p>
    <w:p w14:paraId="7573437A" w14:textId="354F646C" w:rsidR="0048482F" w:rsidRPr="002166BB" w:rsidRDefault="001B29D1"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However, in acknowledgement of the above concern</w:t>
      </w:r>
      <w:r w:rsidR="005024F6" w:rsidRPr="002166BB">
        <w:rPr>
          <w:rFonts w:ascii="Arial" w:hAnsi="Arial" w:cs="Arial"/>
          <w:color w:val="000000"/>
          <w:sz w:val="24"/>
          <w:szCs w:val="24"/>
        </w:rPr>
        <w:t xml:space="preserve"> </w:t>
      </w:r>
      <w:r w:rsidRPr="002166BB">
        <w:rPr>
          <w:rFonts w:ascii="Arial" w:hAnsi="Arial" w:cs="Arial"/>
          <w:color w:val="000000"/>
          <w:sz w:val="24"/>
          <w:szCs w:val="24"/>
        </w:rPr>
        <w:t xml:space="preserve">and </w:t>
      </w:r>
      <w:r w:rsidR="005024F6" w:rsidRPr="002166BB">
        <w:rPr>
          <w:rFonts w:ascii="Arial" w:hAnsi="Arial" w:cs="Arial"/>
          <w:color w:val="000000"/>
          <w:sz w:val="24"/>
          <w:szCs w:val="24"/>
        </w:rPr>
        <w:t xml:space="preserve">to address a scenario whereby a child under the MACR committed an extremely serious offence, </w:t>
      </w:r>
      <w:r w:rsidRPr="002166BB">
        <w:rPr>
          <w:rFonts w:ascii="Arial" w:hAnsi="Arial" w:cs="Arial"/>
          <w:color w:val="000000"/>
          <w:sz w:val="24"/>
          <w:szCs w:val="24"/>
        </w:rPr>
        <w:t>one option c</w:t>
      </w:r>
      <w:r w:rsidR="005024F6" w:rsidRPr="002166BB">
        <w:rPr>
          <w:rFonts w:ascii="Arial" w:hAnsi="Arial" w:cs="Arial"/>
          <w:color w:val="000000"/>
          <w:sz w:val="24"/>
          <w:szCs w:val="24"/>
        </w:rPr>
        <w:t>ould be to introduce</w:t>
      </w:r>
      <w:r w:rsidR="003F0996" w:rsidRPr="002166BB">
        <w:rPr>
          <w:rFonts w:ascii="Arial" w:hAnsi="Arial" w:cs="Arial"/>
          <w:color w:val="000000"/>
          <w:sz w:val="24"/>
          <w:szCs w:val="24"/>
        </w:rPr>
        <w:t xml:space="preserve"> an exception for certain </w:t>
      </w:r>
      <w:r w:rsidRPr="002166BB">
        <w:rPr>
          <w:rFonts w:ascii="Arial" w:hAnsi="Arial" w:cs="Arial"/>
          <w:color w:val="000000"/>
          <w:sz w:val="24"/>
          <w:szCs w:val="24"/>
        </w:rPr>
        <w:t xml:space="preserve">grave </w:t>
      </w:r>
      <w:r w:rsidR="003F0996" w:rsidRPr="002166BB">
        <w:rPr>
          <w:rFonts w:ascii="Arial" w:hAnsi="Arial" w:cs="Arial"/>
          <w:color w:val="000000"/>
          <w:sz w:val="24"/>
          <w:szCs w:val="24"/>
        </w:rPr>
        <w:t>offences.  While this option would not be endorsed by the United Nations Committee on the Rights of the Child, which stated that it was “</w:t>
      </w:r>
      <w:r w:rsidR="003F0996" w:rsidRPr="002166BB">
        <w:rPr>
          <w:rFonts w:ascii="Arial" w:hAnsi="Arial" w:cs="Arial"/>
          <w:i/>
          <w:color w:val="000000"/>
          <w:sz w:val="24"/>
          <w:szCs w:val="24"/>
        </w:rPr>
        <w:t>concerned about practises that permit the use of a lower minimum age of criminal responsibility in cases where, for example, the child is accused of committing a serious offence”</w:t>
      </w:r>
      <w:r w:rsidR="003F0996" w:rsidRPr="002166BB">
        <w:rPr>
          <w:rStyle w:val="FootnoteReference"/>
          <w:rFonts w:ascii="Arial" w:hAnsi="Arial" w:cs="Arial"/>
          <w:i/>
          <w:color w:val="000000"/>
          <w:sz w:val="24"/>
          <w:szCs w:val="24"/>
        </w:rPr>
        <w:footnoteReference w:id="6"/>
      </w:r>
      <w:r w:rsidR="003F0996" w:rsidRPr="002166BB">
        <w:rPr>
          <w:rFonts w:ascii="Arial" w:hAnsi="Arial" w:cs="Arial"/>
          <w:i/>
          <w:color w:val="000000"/>
          <w:sz w:val="24"/>
          <w:szCs w:val="24"/>
        </w:rPr>
        <w:t xml:space="preserve">, </w:t>
      </w:r>
      <w:r w:rsidR="003F0996" w:rsidRPr="002166BB">
        <w:rPr>
          <w:rFonts w:ascii="Arial" w:hAnsi="Arial" w:cs="Arial"/>
          <w:color w:val="000000"/>
          <w:sz w:val="24"/>
          <w:szCs w:val="24"/>
        </w:rPr>
        <w:t xml:space="preserve">it would replicate the approach </w:t>
      </w:r>
      <w:r w:rsidR="003F0996" w:rsidRPr="002166BB">
        <w:rPr>
          <w:rFonts w:ascii="Arial" w:hAnsi="Arial" w:cs="Arial"/>
          <w:color w:val="000000"/>
          <w:sz w:val="24"/>
          <w:szCs w:val="24"/>
        </w:rPr>
        <w:lastRenderedPageBreak/>
        <w:t>adopted by the Irish Government and may help to address concerns which the public and politicians have around serious crimes.</w:t>
      </w:r>
    </w:p>
    <w:p w14:paraId="67A323BC" w14:textId="77777777" w:rsidR="0048482F" w:rsidRPr="002166BB" w:rsidRDefault="0048482F" w:rsidP="00C41CBD">
      <w:pPr>
        <w:pStyle w:val="ListParagraph"/>
        <w:spacing w:after="0" w:line="240" w:lineRule="auto"/>
        <w:ind w:left="0"/>
        <w:jc w:val="both"/>
        <w:rPr>
          <w:rFonts w:ascii="Arial" w:hAnsi="Arial" w:cs="Arial"/>
          <w:color w:val="000000"/>
          <w:sz w:val="24"/>
          <w:szCs w:val="24"/>
        </w:rPr>
      </w:pPr>
    </w:p>
    <w:p w14:paraId="789ECE24" w14:textId="77777777" w:rsidR="0048482F" w:rsidRPr="002166BB" w:rsidRDefault="0048482F" w:rsidP="00927300">
      <w:pPr>
        <w:spacing w:after="0" w:line="360" w:lineRule="auto"/>
        <w:jc w:val="both"/>
        <w:rPr>
          <w:rFonts w:ascii="Arial" w:hAnsi="Arial" w:cs="Arial"/>
          <w:b/>
          <w:color w:val="000000"/>
          <w:sz w:val="24"/>
          <w:szCs w:val="24"/>
          <w:u w:val="single"/>
        </w:rPr>
      </w:pPr>
      <w:r w:rsidRPr="002166BB">
        <w:rPr>
          <w:rFonts w:ascii="Arial" w:hAnsi="Arial" w:cs="Arial"/>
          <w:b/>
          <w:color w:val="000000"/>
          <w:sz w:val="24"/>
          <w:szCs w:val="24"/>
          <w:u w:val="single"/>
        </w:rPr>
        <w:t>Conclusion</w:t>
      </w:r>
    </w:p>
    <w:p w14:paraId="7F573C07" w14:textId="77777777" w:rsidR="0048482F" w:rsidRPr="002166BB" w:rsidRDefault="0048482F" w:rsidP="00C41CBD">
      <w:pPr>
        <w:spacing w:after="0" w:line="240" w:lineRule="auto"/>
        <w:jc w:val="both"/>
        <w:rPr>
          <w:rFonts w:ascii="Arial" w:hAnsi="Arial" w:cs="Arial"/>
          <w:color w:val="000000"/>
          <w:sz w:val="24"/>
          <w:szCs w:val="24"/>
        </w:rPr>
      </w:pPr>
    </w:p>
    <w:p w14:paraId="50A6C99C" w14:textId="41CC5AC0" w:rsidR="0048482F" w:rsidRPr="002166BB" w:rsidRDefault="0048482F"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 xml:space="preserve">The figures set out in the table in Annex </w:t>
      </w:r>
      <w:r w:rsidR="001B29D1" w:rsidRPr="002166BB">
        <w:rPr>
          <w:rFonts w:ascii="Arial" w:hAnsi="Arial" w:cs="Arial"/>
          <w:color w:val="000000"/>
          <w:sz w:val="24"/>
          <w:szCs w:val="24"/>
        </w:rPr>
        <w:t>B</w:t>
      </w:r>
      <w:r w:rsidRPr="002166BB">
        <w:rPr>
          <w:rFonts w:ascii="Arial" w:hAnsi="Arial" w:cs="Arial"/>
          <w:color w:val="000000"/>
          <w:sz w:val="24"/>
          <w:szCs w:val="24"/>
        </w:rPr>
        <w:t xml:space="preserve"> demonstrate that an increase in MACR to 14 years, while having a considerable impact on the lives of the individuals involved, would not have a significant impact on the overall numbers of children in contact with youth justice system.  </w:t>
      </w:r>
    </w:p>
    <w:p w14:paraId="7C48FA08" w14:textId="77777777" w:rsidR="00A91143" w:rsidRPr="002166BB" w:rsidRDefault="00A91143" w:rsidP="00C41CBD">
      <w:pPr>
        <w:spacing w:after="0" w:line="240" w:lineRule="auto"/>
        <w:jc w:val="both"/>
        <w:rPr>
          <w:rFonts w:ascii="Arial" w:hAnsi="Arial" w:cs="Arial"/>
          <w:color w:val="000000"/>
          <w:sz w:val="24"/>
          <w:szCs w:val="24"/>
        </w:rPr>
      </w:pPr>
    </w:p>
    <w:p w14:paraId="29914342" w14:textId="42961324" w:rsidR="0048482F" w:rsidRPr="002166BB" w:rsidRDefault="0048482F"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 xml:space="preserve">The relatively low numbers of children involved has often been cited as a reason </w:t>
      </w:r>
      <w:r w:rsidRPr="002166BB">
        <w:rPr>
          <w:rFonts w:ascii="Arial" w:hAnsi="Arial" w:cs="Arial"/>
          <w:b/>
          <w:color w:val="000000"/>
          <w:sz w:val="24"/>
          <w:szCs w:val="24"/>
        </w:rPr>
        <w:t>not</w:t>
      </w:r>
      <w:r w:rsidRPr="002166BB">
        <w:rPr>
          <w:rFonts w:ascii="Arial" w:hAnsi="Arial" w:cs="Arial"/>
          <w:color w:val="000000"/>
          <w:sz w:val="24"/>
          <w:szCs w:val="24"/>
        </w:rPr>
        <w:t xml:space="preserve"> to change MACR.  However, the Justice Minister and all those in support of children’s rights are confident that we should increase MACR because it is the right thing to do.  Raising the age of criminal responsibility in law sends out a clear message that our </w:t>
      </w:r>
      <w:r w:rsidR="001B29D1" w:rsidRPr="002166BB">
        <w:rPr>
          <w:rFonts w:ascii="Arial" w:hAnsi="Arial" w:cs="Arial"/>
          <w:color w:val="000000"/>
          <w:sz w:val="24"/>
          <w:szCs w:val="24"/>
        </w:rPr>
        <w:t>children</w:t>
      </w:r>
      <w:r w:rsidRPr="002166BB">
        <w:rPr>
          <w:rFonts w:ascii="Arial" w:hAnsi="Arial" w:cs="Arial"/>
          <w:color w:val="000000"/>
          <w:sz w:val="24"/>
          <w:szCs w:val="24"/>
        </w:rPr>
        <w:t xml:space="preserve"> who offend need and deserve our support, guidance and help – not </w:t>
      </w:r>
      <w:r w:rsidR="0097481C" w:rsidRPr="002166BB">
        <w:rPr>
          <w:rFonts w:ascii="Arial" w:hAnsi="Arial" w:cs="Arial"/>
          <w:color w:val="000000"/>
          <w:sz w:val="24"/>
          <w:szCs w:val="24"/>
        </w:rPr>
        <w:t xml:space="preserve">merely </w:t>
      </w:r>
      <w:r w:rsidRPr="002166BB">
        <w:rPr>
          <w:rFonts w:ascii="Arial" w:hAnsi="Arial" w:cs="Arial"/>
          <w:color w:val="000000"/>
          <w:sz w:val="24"/>
          <w:szCs w:val="24"/>
        </w:rPr>
        <w:t>criminalisation and punishment.</w:t>
      </w:r>
    </w:p>
    <w:p w14:paraId="44CE0FCC" w14:textId="77777777" w:rsidR="0048482F" w:rsidRPr="002166BB" w:rsidRDefault="0048482F" w:rsidP="00C41CBD">
      <w:pPr>
        <w:spacing w:after="0" w:line="240" w:lineRule="auto"/>
        <w:jc w:val="both"/>
        <w:rPr>
          <w:rFonts w:ascii="Arial" w:hAnsi="Arial" w:cs="Arial"/>
          <w:color w:val="000000"/>
          <w:sz w:val="24"/>
          <w:szCs w:val="24"/>
        </w:rPr>
      </w:pPr>
    </w:p>
    <w:p w14:paraId="3040D044" w14:textId="3EDA8B8C" w:rsidR="004D5773" w:rsidRPr="002166BB" w:rsidRDefault="004D5773" w:rsidP="00927300">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 xml:space="preserve">Not only would increasing MACR bring Northern Ireland into line with international standards and best practice, but it would also reinforce the Department’s commitment </w:t>
      </w:r>
      <w:r w:rsidRPr="002166BB">
        <w:rPr>
          <w:rFonts w:ascii="Arial" w:hAnsi="Arial" w:cs="Arial"/>
          <w:color w:val="000000"/>
          <w:sz w:val="24"/>
          <w:szCs w:val="24"/>
        </w:rPr>
        <w:lastRenderedPageBreak/>
        <w:t>to delivering on the Youth Justice Review recommendations, the 201</w:t>
      </w:r>
      <w:r w:rsidR="00CF35B1" w:rsidRPr="002166BB">
        <w:rPr>
          <w:rFonts w:ascii="Arial" w:hAnsi="Arial" w:cs="Arial"/>
          <w:color w:val="000000"/>
          <w:sz w:val="24"/>
          <w:szCs w:val="24"/>
        </w:rPr>
        <w:t>5</w:t>
      </w:r>
      <w:r w:rsidRPr="002166BB">
        <w:rPr>
          <w:rFonts w:ascii="Arial" w:hAnsi="Arial" w:cs="Arial"/>
          <w:color w:val="000000"/>
          <w:sz w:val="24"/>
          <w:szCs w:val="24"/>
        </w:rPr>
        <w:t xml:space="preserve"> Scoping Study and the recently published Strategic Framework for Youth Justice.  </w:t>
      </w:r>
    </w:p>
    <w:p w14:paraId="41827B4C" w14:textId="77777777" w:rsidR="004D5773" w:rsidRPr="002166BB" w:rsidRDefault="004D5773" w:rsidP="00C41CBD">
      <w:pPr>
        <w:pStyle w:val="ListParagraph"/>
        <w:spacing w:after="0" w:line="240" w:lineRule="auto"/>
        <w:jc w:val="both"/>
        <w:rPr>
          <w:rFonts w:ascii="Arial" w:hAnsi="Arial" w:cs="Arial"/>
          <w:color w:val="000000"/>
          <w:sz w:val="24"/>
          <w:szCs w:val="24"/>
        </w:rPr>
      </w:pPr>
    </w:p>
    <w:p w14:paraId="2CEFD30A" w14:textId="6068ECBC" w:rsidR="001757AF" w:rsidRDefault="004D5773" w:rsidP="001757AF">
      <w:pPr>
        <w:pStyle w:val="ListParagraph"/>
        <w:numPr>
          <w:ilvl w:val="0"/>
          <w:numId w:val="1"/>
        </w:numPr>
        <w:spacing w:after="0" w:line="360" w:lineRule="auto"/>
        <w:ind w:left="357" w:hanging="357"/>
        <w:contextualSpacing w:val="0"/>
        <w:jc w:val="both"/>
        <w:rPr>
          <w:rFonts w:ascii="Arial" w:hAnsi="Arial" w:cs="Arial"/>
          <w:color w:val="000000"/>
          <w:sz w:val="24"/>
          <w:szCs w:val="24"/>
        </w:rPr>
      </w:pPr>
      <w:r w:rsidRPr="002166BB">
        <w:rPr>
          <w:rFonts w:ascii="Arial" w:hAnsi="Arial" w:cs="Arial"/>
          <w:color w:val="000000"/>
          <w:sz w:val="24"/>
          <w:szCs w:val="24"/>
        </w:rPr>
        <w:t>The views of the public will be crucial in determining whether there is sufficient support to help the Department to secure an increase in MACR.  A number of options have been proposed for the way forward</w:t>
      </w:r>
      <w:r w:rsidR="00CF35B1" w:rsidRPr="002166BB">
        <w:rPr>
          <w:rFonts w:ascii="Arial" w:hAnsi="Arial" w:cs="Arial"/>
          <w:color w:val="000000"/>
          <w:sz w:val="24"/>
          <w:szCs w:val="24"/>
        </w:rPr>
        <w:t>, and we would be grateful if you could take the time to g</w:t>
      </w:r>
      <w:r w:rsidR="001757AF">
        <w:rPr>
          <w:rFonts w:ascii="Arial" w:hAnsi="Arial" w:cs="Arial"/>
          <w:color w:val="000000"/>
          <w:sz w:val="24"/>
          <w:szCs w:val="24"/>
        </w:rPr>
        <w:t>ive us your views.</w:t>
      </w:r>
    </w:p>
    <w:p w14:paraId="28409E71" w14:textId="77777777" w:rsidR="001757AF" w:rsidRDefault="001757AF" w:rsidP="001757AF">
      <w:pPr>
        <w:rPr>
          <w:rFonts w:ascii="Arial" w:hAnsi="Arial" w:cs="Arial"/>
          <w:color w:val="000000"/>
          <w:sz w:val="24"/>
          <w:szCs w:val="24"/>
        </w:rPr>
      </w:pPr>
    </w:p>
    <w:p w14:paraId="5BF1838B" w14:textId="77777777" w:rsidR="002F60FA" w:rsidRDefault="002F60FA" w:rsidP="00220C32">
      <w:pPr>
        <w:spacing w:after="0" w:line="240" w:lineRule="auto"/>
        <w:jc w:val="both"/>
        <w:rPr>
          <w:rFonts w:ascii="Arial" w:hAnsi="Arial" w:cs="Arial"/>
          <w:b/>
          <w:color w:val="000000"/>
          <w:sz w:val="24"/>
          <w:szCs w:val="24"/>
        </w:rPr>
      </w:pPr>
    </w:p>
    <w:p w14:paraId="191FDBB0" w14:textId="3526EFCC" w:rsidR="00B54C98" w:rsidRPr="0002522A" w:rsidRDefault="00B54C98" w:rsidP="0002522A">
      <w:pPr>
        <w:pStyle w:val="Default"/>
        <w:spacing w:line="360" w:lineRule="auto"/>
        <w:jc w:val="both"/>
        <w:rPr>
          <w:rFonts w:ascii="Arial" w:hAnsi="Arial" w:cs="Arial"/>
          <w:b/>
          <w:bCs/>
        </w:rPr>
        <w:sectPr w:rsidR="00B54C98" w:rsidRPr="0002522A" w:rsidSect="00F64CB6">
          <w:footerReference w:type="default" r:id="rId10"/>
          <w:pgSz w:w="11906" w:h="16838"/>
          <w:pgMar w:top="1440" w:right="1440" w:bottom="1440" w:left="1440" w:header="709" w:footer="709" w:gutter="0"/>
          <w:cols w:space="708"/>
          <w:docGrid w:linePitch="360"/>
        </w:sectPr>
      </w:pPr>
    </w:p>
    <w:p w14:paraId="5E0E295B" w14:textId="77777777" w:rsidR="005B1CC6" w:rsidRPr="002166BB" w:rsidRDefault="005B1CC6" w:rsidP="005B1CC6">
      <w:pPr>
        <w:spacing w:after="0" w:line="240" w:lineRule="auto"/>
        <w:jc w:val="center"/>
        <w:rPr>
          <w:rFonts w:ascii="Arial" w:hAnsi="Arial" w:cs="Arial"/>
          <w:b/>
          <w:sz w:val="24"/>
          <w:szCs w:val="24"/>
        </w:rPr>
      </w:pPr>
    </w:p>
    <w:p w14:paraId="7332843B" w14:textId="5CC07325" w:rsidR="007B49F9" w:rsidRPr="002166BB" w:rsidRDefault="005B1CC6" w:rsidP="005B1CC6">
      <w:pPr>
        <w:spacing w:after="0" w:line="240" w:lineRule="auto"/>
        <w:jc w:val="center"/>
        <w:rPr>
          <w:rFonts w:ascii="Arial" w:hAnsi="Arial" w:cs="Arial"/>
          <w:b/>
          <w:sz w:val="24"/>
          <w:szCs w:val="24"/>
        </w:rPr>
      </w:pPr>
      <w:r w:rsidRPr="002166BB">
        <w:rPr>
          <w:rFonts w:ascii="Arial" w:hAnsi="Arial" w:cs="Arial"/>
          <w:b/>
          <w:sz w:val="24"/>
          <w:szCs w:val="24"/>
        </w:rPr>
        <w:t>Table comparing the minimum age of criminal responsibility in European countries</w:t>
      </w:r>
    </w:p>
    <w:p w14:paraId="544E0A14" w14:textId="77777777" w:rsidR="005B1CC6" w:rsidRPr="002166BB" w:rsidRDefault="005B1CC6" w:rsidP="005B1CC6">
      <w:pPr>
        <w:spacing w:after="0" w:line="240" w:lineRule="auto"/>
        <w:jc w:val="center"/>
        <w:rPr>
          <w:rFonts w:ascii="Arial" w:hAnsi="Arial" w:cs="Arial"/>
          <w:b/>
          <w:sz w:val="24"/>
          <w:szCs w:val="24"/>
        </w:rPr>
      </w:pPr>
    </w:p>
    <w:tbl>
      <w:tblPr>
        <w:tblStyle w:val="GridTable1Light-Accent6"/>
        <w:tblW w:w="0" w:type="auto"/>
        <w:tblLook w:val="04A0" w:firstRow="1" w:lastRow="0" w:firstColumn="1" w:lastColumn="0" w:noHBand="0" w:noVBand="1"/>
        <w:tblCaption w:val="A table comparing the minimum age of criminal responsibility for European countries."/>
        <w:tblDescription w:val="A table showing a number of countries in Europe and their corresponding  minimum ages of criminal responsibility."/>
      </w:tblPr>
      <w:tblGrid>
        <w:gridCol w:w="2689"/>
        <w:gridCol w:w="1819"/>
        <w:gridCol w:w="2717"/>
        <w:gridCol w:w="1791"/>
      </w:tblGrid>
      <w:tr w:rsidR="007B49F9" w:rsidRPr="002166BB" w14:paraId="66393F99" w14:textId="77777777" w:rsidTr="00B4551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89" w:type="dxa"/>
          </w:tcPr>
          <w:p w14:paraId="6E24AFF5" w14:textId="1CB95B37" w:rsidR="007B49F9" w:rsidRPr="002166BB" w:rsidRDefault="005B1CC6" w:rsidP="007B49F9">
            <w:pPr>
              <w:spacing w:line="360" w:lineRule="auto"/>
              <w:jc w:val="center"/>
              <w:rPr>
                <w:rFonts w:ascii="Arial" w:hAnsi="Arial" w:cs="Arial"/>
                <w:sz w:val="24"/>
                <w:szCs w:val="24"/>
              </w:rPr>
            </w:pPr>
            <w:r w:rsidRPr="002166BB">
              <w:rPr>
                <w:rFonts w:ascii="Arial" w:hAnsi="Arial" w:cs="Arial"/>
                <w:sz w:val="24"/>
                <w:szCs w:val="24"/>
              </w:rPr>
              <w:t>Country</w:t>
            </w:r>
          </w:p>
        </w:tc>
        <w:tc>
          <w:tcPr>
            <w:tcW w:w="1819" w:type="dxa"/>
          </w:tcPr>
          <w:p w14:paraId="107F403E" w14:textId="7F0A3E7E" w:rsidR="007B49F9" w:rsidRPr="002166BB" w:rsidRDefault="007B49F9" w:rsidP="007B49F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MACR</w:t>
            </w:r>
          </w:p>
        </w:tc>
        <w:tc>
          <w:tcPr>
            <w:tcW w:w="2717" w:type="dxa"/>
          </w:tcPr>
          <w:p w14:paraId="7CD05646" w14:textId="5AC0EF06" w:rsidR="007B49F9" w:rsidRPr="002166BB" w:rsidRDefault="005B1CC6" w:rsidP="007B49F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Country</w:t>
            </w:r>
          </w:p>
        </w:tc>
        <w:tc>
          <w:tcPr>
            <w:tcW w:w="1791" w:type="dxa"/>
          </w:tcPr>
          <w:p w14:paraId="5F8AADC5" w14:textId="0AFA85F9" w:rsidR="007B49F9" w:rsidRPr="002166BB" w:rsidRDefault="007B49F9" w:rsidP="007B49F9">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MACR</w:t>
            </w:r>
          </w:p>
        </w:tc>
      </w:tr>
      <w:tr w:rsidR="007B49F9" w:rsidRPr="002166BB" w14:paraId="2D410ACD"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1D409E7E" w14:textId="5369E174" w:rsidR="007B49F9" w:rsidRPr="002166BB" w:rsidRDefault="007B49F9" w:rsidP="007B49F9">
            <w:pPr>
              <w:spacing w:line="360" w:lineRule="auto"/>
              <w:rPr>
                <w:rFonts w:ascii="Arial" w:hAnsi="Arial" w:cs="Arial"/>
                <w:b w:val="0"/>
                <w:sz w:val="24"/>
                <w:szCs w:val="24"/>
              </w:rPr>
            </w:pPr>
            <w:r w:rsidRPr="002166BB">
              <w:rPr>
                <w:rFonts w:ascii="Arial" w:hAnsi="Arial" w:cs="Arial"/>
                <w:b w:val="0"/>
                <w:sz w:val="24"/>
                <w:szCs w:val="24"/>
              </w:rPr>
              <w:t>Albania</w:t>
            </w:r>
          </w:p>
        </w:tc>
        <w:tc>
          <w:tcPr>
            <w:tcW w:w="1819" w:type="dxa"/>
          </w:tcPr>
          <w:p w14:paraId="530D0F8E" w14:textId="7DC37D99" w:rsidR="007B49F9" w:rsidRPr="002166BB"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c>
          <w:tcPr>
            <w:tcW w:w="2717" w:type="dxa"/>
          </w:tcPr>
          <w:p w14:paraId="371A94E0" w14:textId="7E3DD003" w:rsidR="007B49F9" w:rsidRPr="002166BB" w:rsidRDefault="007B49F9" w:rsidP="007B49F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Luxembourg</w:t>
            </w:r>
          </w:p>
        </w:tc>
        <w:tc>
          <w:tcPr>
            <w:tcW w:w="1791" w:type="dxa"/>
          </w:tcPr>
          <w:p w14:paraId="11CE2A7F" w14:textId="5BF4CAB8" w:rsidR="007B49F9" w:rsidRPr="002166BB"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18</w:t>
            </w:r>
          </w:p>
        </w:tc>
      </w:tr>
      <w:tr w:rsidR="007B49F9" w:rsidRPr="002166BB" w14:paraId="153EFEBC"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1E86C13F" w14:textId="154D7C2F" w:rsidR="007B49F9" w:rsidRPr="002166BB" w:rsidRDefault="007B49F9" w:rsidP="007B49F9">
            <w:pPr>
              <w:spacing w:line="360" w:lineRule="auto"/>
              <w:rPr>
                <w:rFonts w:ascii="Arial" w:hAnsi="Arial" w:cs="Arial"/>
                <w:b w:val="0"/>
                <w:sz w:val="24"/>
                <w:szCs w:val="24"/>
              </w:rPr>
            </w:pPr>
            <w:r w:rsidRPr="002166BB">
              <w:rPr>
                <w:rFonts w:ascii="Arial" w:hAnsi="Arial" w:cs="Arial"/>
                <w:b w:val="0"/>
                <w:sz w:val="24"/>
                <w:szCs w:val="24"/>
              </w:rPr>
              <w:t>Andorra</w:t>
            </w:r>
          </w:p>
        </w:tc>
        <w:tc>
          <w:tcPr>
            <w:tcW w:w="1819" w:type="dxa"/>
          </w:tcPr>
          <w:p w14:paraId="32B054B2" w14:textId="53B8DFD0" w:rsidR="007B49F9" w:rsidRPr="002166BB"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12</w:t>
            </w:r>
          </w:p>
        </w:tc>
        <w:tc>
          <w:tcPr>
            <w:tcW w:w="2717" w:type="dxa"/>
          </w:tcPr>
          <w:p w14:paraId="31ADFD18" w14:textId="616AC405" w:rsidR="007B49F9" w:rsidRPr="002166BB" w:rsidRDefault="007B49F9" w:rsidP="007B49F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Macedonia</w:t>
            </w:r>
          </w:p>
        </w:tc>
        <w:tc>
          <w:tcPr>
            <w:tcW w:w="1791" w:type="dxa"/>
          </w:tcPr>
          <w:p w14:paraId="7AD33FAE" w14:textId="7F62D70E" w:rsidR="007B49F9" w:rsidRPr="002166BB"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r>
      <w:tr w:rsidR="007B49F9" w:rsidRPr="002166BB" w14:paraId="1C30AB16"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7E1A1197" w14:textId="1AC4DDF6" w:rsidR="007B49F9" w:rsidRPr="002166BB" w:rsidRDefault="007B49F9" w:rsidP="007B49F9">
            <w:pPr>
              <w:spacing w:line="360" w:lineRule="auto"/>
              <w:rPr>
                <w:rFonts w:ascii="Arial" w:hAnsi="Arial" w:cs="Arial"/>
                <w:b w:val="0"/>
                <w:sz w:val="24"/>
                <w:szCs w:val="24"/>
              </w:rPr>
            </w:pPr>
            <w:r w:rsidRPr="002166BB">
              <w:rPr>
                <w:rFonts w:ascii="Arial" w:hAnsi="Arial" w:cs="Arial"/>
                <w:b w:val="0"/>
                <w:sz w:val="24"/>
                <w:szCs w:val="24"/>
              </w:rPr>
              <w:t>Armenia</w:t>
            </w:r>
          </w:p>
        </w:tc>
        <w:tc>
          <w:tcPr>
            <w:tcW w:w="1819" w:type="dxa"/>
          </w:tcPr>
          <w:p w14:paraId="4921D0C1" w14:textId="16F2B484" w:rsidR="007B49F9" w:rsidRPr="002166BB"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16</w:t>
            </w:r>
          </w:p>
        </w:tc>
        <w:tc>
          <w:tcPr>
            <w:tcW w:w="2717" w:type="dxa"/>
          </w:tcPr>
          <w:p w14:paraId="3152628B" w14:textId="4F54E60D" w:rsidR="007B49F9" w:rsidRPr="002166BB" w:rsidRDefault="007B49F9" w:rsidP="007B49F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Malta</w:t>
            </w:r>
          </w:p>
        </w:tc>
        <w:tc>
          <w:tcPr>
            <w:tcW w:w="1791" w:type="dxa"/>
          </w:tcPr>
          <w:p w14:paraId="409B2D96" w14:textId="35E1B9B9" w:rsidR="007B49F9" w:rsidRPr="002166BB"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r>
      <w:tr w:rsidR="007B49F9" w:rsidRPr="002166BB" w14:paraId="04E4F1FA"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7D362545" w14:textId="4C3D95E2" w:rsidR="007B49F9" w:rsidRPr="002166BB" w:rsidRDefault="007B49F9" w:rsidP="007B49F9">
            <w:pPr>
              <w:spacing w:line="360" w:lineRule="auto"/>
              <w:rPr>
                <w:rFonts w:ascii="Arial" w:hAnsi="Arial" w:cs="Arial"/>
                <w:b w:val="0"/>
                <w:sz w:val="24"/>
                <w:szCs w:val="24"/>
              </w:rPr>
            </w:pPr>
            <w:r w:rsidRPr="002166BB">
              <w:rPr>
                <w:rFonts w:ascii="Arial" w:hAnsi="Arial" w:cs="Arial"/>
                <w:b w:val="0"/>
                <w:sz w:val="24"/>
                <w:szCs w:val="24"/>
              </w:rPr>
              <w:t>Austria</w:t>
            </w:r>
          </w:p>
        </w:tc>
        <w:tc>
          <w:tcPr>
            <w:tcW w:w="1819" w:type="dxa"/>
          </w:tcPr>
          <w:p w14:paraId="2140C679" w14:textId="66AED53E" w:rsidR="007B49F9" w:rsidRPr="002166BB"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c>
          <w:tcPr>
            <w:tcW w:w="2717" w:type="dxa"/>
          </w:tcPr>
          <w:p w14:paraId="4D0AD3EB" w14:textId="64F2F4FD" w:rsidR="007B49F9" w:rsidRPr="002166BB" w:rsidRDefault="007B49F9" w:rsidP="007B49F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Moldova</w:t>
            </w:r>
          </w:p>
        </w:tc>
        <w:tc>
          <w:tcPr>
            <w:tcW w:w="1791" w:type="dxa"/>
          </w:tcPr>
          <w:p w14:paraId="3370AE8C" w14:textId="37A7C66A" w:rsidR="007B49F9" w:rsidRPr="002166BB"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16</w:t>
            </w:r>
          </w:p>
        </w:tc>
      </w:tr>
      <w:tr w:rsidR="007B49F9" w:rsidRPr="002166BB" w14:paraId="6878DE8D"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7BBD97D7" w14:textId="10EBDE3D" w:rsidR="007B49F9" w:rsidRPr="002166BB" w:rsidRDefault="007B49F9" w:rsidP="007B49F9">
            <w:pPr>
              <w:spacing w:line="360" w:lineRule="auto"/>
              <w:rPr>
                <w:rFonts w:ascii="Arial" w:hAnsi="Arial" w:cs="Arial"/>
                <w:b w:val="0"/>
                <w:sz w:val="24"/>
                <w:szCs w:val="24"/>
              </w:rPr>
            </w:pPr>
            <w:r w:rsidRPr="002166BB">
              <w:rPr>
                <w:rFonts w:ascii="Arial" w:hAnsi="Arial" w:cs="Arial"/>
                <w:b w:val="0"/>
                <w:sz w:val="24"/>
                <w:szCs w:val="24"/>
              </w:rPr>
              <w:t>Azerbaijan</w:t>
            </w:r>
          </w:p>
        </w:tc>
        <w:tc>
          <w:tcPr>
            <w:tcW w:w="1819" w:type="dxa"/>
          </w:tcPr>
          <w:p w14:paraId="3377079F" w14:textId="3E1E4780" w:rsidR="007B49F9" w:rsidRPr="002166BB"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16</w:t>
            </w:r>
          </w:p>
        </w:tc>
        <w:tc>
          <w:tcPr>
            <w:tcW w:w="2717" w:type="dxa"/>
          </w:tcPr>
          <w:p w14:paraId="786C239E" w14:textId="3C6A2AF8" w:rsidR="007B49F9" w:rsidRPr="002166BB" w:rsidRDefault="007B49F9" w:rsidP="007B49F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Monaco</w:t>
            </w:r>
          </w:p>
        </w:tc>
        <w:tc>
          <w:tcPr>
            <w:tcW w:w="1791" w:type="dxa"/>
          </w:tcPr>
          <w:p w14:paraId="679F61D4" w14:textId="29BC6B39" w:rsidR="007B49F9" w:rsidRPr="002166BB"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13</w:t>
            </w:r>
          </w:p>
        </w:tc>
      </w:tr>
      <w:tr w:rsidR="007B49F9" w:rsidRPr="002166BB" w14:paraId="70A237F3"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3955E2A5" w14:textId="1F6A5D1D" w:rsidR="007B49F9" w:rsidRPr="002166BB" w:rsidRDefault="007B49F9" w:rsidP="007B49F9">
            <w:pPr>
              <w:spacing w:line="360" w:lineRule="auto"/>
              <w:rPr>
                <w:rFonts w:ascii="Arial" w:hAnsi="Arial" w:cs="Arial"/>
                <w:b w:val="0"/>
                <w:sz w:val="24"/>
                <w:szCs w:val="24"/>
              </w:rPr>
            </w:pPr>
            <w:r w:rsidRPr="002166BB">
              <w:rPr>
                <w:rFonts w:ascii="Arial" w:hAnsi="Arial" w:cs="Arial"/>
                <w:b w:val="0"/>
                <w:sz w:val="24"/>
                <w:szCs w:val="24"/>
              </w:rPr>
              <w:t>Belarus</w:t>
            </w:r>
          </w:p>
        </w:tc>
        <w:tc>
          <w:tcPr>
            <w:tcW w:w="1819" w:type="dxa"/>
          </w:tcPr>
          <w:p w14:paraId="2EE49ECC" w14:textId="1082741B" w:rsidR="007B49F9" w:rsidRPr="002166BB"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16</w:t>
            </w:r>
          </w:p>
        </w:tc>
        <w:tc>
          <w:tcPr>
            <w:tcW w:w="2717" w:type="dxa"/>
          </w:tcPr>
          <w:p w14:paraId="13ACBD32" w14:textId="50C94F35" w:rsidR="007B49F9" w:rsidRPr="002166BB" w:rsidRDefault="007B49F9" w:rsidP="007B49F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Montenegro</w:t>
            </w:r>
          </w:p>
        </w:tc>
        <w:tc>
          <w:tcPr>
            <w:tcW w:w="1791" w:type="dxa"/>
          </w:tcPr>
          <w:p w14:paraId="64E2ECC5" w14:textId="065E8DAE" w:rsidR="007B49F9" w:rsidRPr="002166BB"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r>
      <w:tr w:rsidR="007B49F9" w:rsidRPr="002166BB" w14:paraId="5DCD965E"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31EB2DE0" w14:textId="1C82D7F7" w:rsidR="007B49F9" w:rsidRPr="002166BB" w:rsidRDefault="007B49F9" w:rsidP="007B49F9">
            <w:pPr>
              <w:spacing w:line="360" w:lineRule="auto"/>
              <w:rPr>
                <w:rFonts w:ascii="Arial" w:hAnsi="Arial" w:cs="Arial"/>
                <w:b w:val="0"/>
                <w:sz w:val="24"/>
                <w:szCs w:val="24"/>
              </w:rPr>
            </w:pPr>
            <w:r w:rsidRPr="002166BB">
              <w:rPr>
                <w:rFonts w:ascii="Arial" w:hAnsi="Arial" w:cs="Arial"/>
                <w:b w:val="0"/>
                <w:sz w:val="24"/>
                <w:szCs w:val="24"/>
              </w:rPr>
              <w:t>Belgium</w:t>
            </w:r>
          </w:p>
        </w:tc>
        <w:tc>
          <w:tcPr>
            <w:tcW w:w="1819" w:type="dxa"/>
          </w:tcPr>
          <w:p w14:paraId="264BABB7" w14:textId="45DA5DDA" w:rsidR="007B49F9" w:rsidRPr="002166BB"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18</w:t>
            </w:r>
          </w:p>
        </w:tc>
        <w:tc>
          <w:tcPr>
            <w:tcW w:w="2717" w:type="dxa"/>
          </w:tcPr>
          <w:p w14:paraId="40074DF1" w14:textId="13F2AD2D" w:rsidR="007B49F9" w:rsidRPr="002166BB" w:rsidRDefault="007B49F9" w:rsidP="007B49F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Netherlands</w:t>
            </w:r>
          </w:p>
        </w:tc>
        <w:tc>
          <w:tcPr>
            <w:tcW w:w="1791" w:type="dxa"/>
          </w:tcPr>
          <w:p w14:paraId="7345F4CF" w14:textId="3A0BD4E9" w:rsidR="007B49F9" w:rsidRPr="002166BB"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12</w:t>
            </w:r>
          </w:p>
        </w:tc>
      </w:tr>
      <w:tr w:rsidR="007B49F9" w:rsidRPr="002166BB" w14:paraId="6629DF52"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3560BA39" w14:textId="53EA1C6E" w:rsidR="007B49F9" w:rsidRPr="002166BB" w:rsidRDefault="007B49F9" w:rsidP="007B49F9">
            <w:pPr>
              <w:spacing w:line="360" w:lineRule="auto"/>
              <w:rPr>
                <w:rFonts w:ascii="Arial" w:hAnsi="Arial" w:cs="Arial"/>
                <w:b w:val="0"/>
                <w:sz w:val="24"/>
                <w:szCs w:val="24"/>
              </w:rPr>
            </w:pPr>
            <w:r w:rsidRPr="002166BB">
              <w:rPr>
                <w:rFonts w:ascii="Arial" w:hAnsi="Arial" w:cs="Arial"/>
                <w:b w:val="0"/>
                <w:sz w:val="24"/>
                <w:szCs w:val="24"/>
              </w:rPr>
              <w:t>Bosnia &amp; Herzegovina</w:t>
            </w:r>
          </w:p>
        </w:tc>
        <w:tc>
          <w:tcPr>
            <w:tcW w:w="1819" w:type="dxa"/>
          </w:tcPr>
          <w:p w14:paraId="5AD4E5E9" w14:textId="6BED92A7" w:rsidR="007B49F9" w:rsidRPr="002166BB" w:rsidRDefault="007B49F9"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c>
          <w:tcPr>
            <w:tcW w:w="2717" w:type="dxa"/>
          </w:tcPr>
          <w:p w14:paraId="3485073E" w14:textId="2E600C40" w:rsidR="007B49F9" w:rsidRPr="002166BB" w:rsidRDefault="005B1CC6" w:rsidP="007B49F9">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Northern Ireland</w:t>
            </w:r>
          </w:p>
        </w:tc>
        <w:tc>
          <w:tcPr>
            <w:tcW w:w="1791" w:type="dxa"/>
          </w:tcPr>
          <w:p w14:paraId="6E73A911" w14:textId="0BE9CC8D" w:rsidR="007B49F9" w:rsidRPr="002166BB" w:rsidRDefault="005B1CC6" w:rsidP="007B49F9">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10</w:t>
            </w:r>
          </w:p>
        </w:tc>
      </w:tr>
      <w:tr w:rsidR="005B1CC6" w:rsidRPr="002166BB" w14:paraId="65B01434"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1284BAD0" w14:textId="3442FCD0"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Bulgaria</w:t>
            </w:r>
          </w:p>
        </w:tc>
        <w:tc>
          <w:tcPr>
            <w:tcW w:w="1819" w:type="dxa"/>
          </w:tcPr>
          <w:p w14:paraId="08FF667A" w14:textId="030EB302"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c>
          <w:tcPr>
            <w:tcW w:w="2717" w:type="dxa"/>
          </w:tcPr>
          <w:p w14:paraId="490B108A" w14:textId="6CEAF30E"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Norway</w:t>
            </w:r>
          </w:p>
        </w:tc>
        <w:tc>
          <w:tcPr>
            <w:tcW w:w="1791" w:type="dxa"/>
          </w:tcPr>
          <w:p w14:paraId="48865D24" w14:textId="0C7B4FE2"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15</w:t>
            </w:r>
          </w:p>
        </w:tc>
      </w:tr>
      <w:tr w:rsidR="005B1CC6" w:rsidRPr="002166BB" w14:paraId="4C09ED5D"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417FCB5E" w14:textId="5F37AD34"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Croatia</w:t>
            </w:r>
          </w:p>
        </w:tc>
        <w:tc>
          <w:tcPr>
            <w:tcW w:w="1819" w:type="dxa"/>
          </w:tcPr>
          <w:p w14:paraId="5EA9BA60" w14:textId="764A343E"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c>
          <w:tcPr>
            <w:tcW w:w="2717" w:type="dxa"/>
          </w:tcPr>
          <w:p w14:paraId="305FDDED" w14:textId="71B444E0"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Poland</w:t>
            </w:r>
          </w:p>
        </w:tc>
        <w:tc>
          <w:tcPr>
            <w:tcW w:w="1791" w:type="dxa"/>
          </w:tcPr>
          <w:p w14:paraId="68D199E6" w14:textId="2BC332EC"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15</w:t>
            </w:r>
          </w:p>
        </w:tc>
      </w:tr>
      <w:tr w:rsidR="005B1CC6" w:rsidRPr="002166BB" w14:paraId="7113715B"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1E5CDBA6" w14:textId="7879E2DD"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Cyprus</w:t>
            </w:r>
          </w:p>
        </w:tc>
        <w:tc>
          <w:tcPr>
            <w:tcW w:w="1819" w:type="dxa"/>
          </w:tcPr>
          <w:p w14:paraId="6B6325C6" w14:textId="03CCF194"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c>
          <w:tcPr>
            <w:tcW w:w="2717" w:type="dxa"/>
          </w:tcPr>
          <w:p w14:paraId="55AD1F27" w14:textId="7A8550C9"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Portugal</w:t>
            </w:r>
          </w:p>
        </w:tc>
        <w:tc>
          <w:tcPr>
            <w:tcW w:w="1791" w:type="dxa"/>
          </w:tcPr>
          <w:p w14:paraId="6D910FAE" w14:textId="6779330B"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16</w:t>
            </w:r>
          </w:p>
        </w:tc>
      </w:tr>
      <w:tr w:rsidR="005B1CC6" w:rsidRPr="002166BB" w14:paraId="2CC6BEDD"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2FB2776C" w14:textId="06989C55"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Czech Republic</w:t>
            </w:r>
          </w:p>
        </w:tc>
        <w:tc>
          <w:tcPr>
            <w:tcW w:w="1819" w:type="dxa"/>
          </w:tcPr>
          <w:p w14:paraId="6C9C359C" w14:textId="74953C25"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15</w:t>
            </w:r>
          </w:p>
        </w:tc>
        <w:tc>
          <w:tcPr>
            <w:tcW w:w="2717" w:type="dxa"/>
          </w:tcPr>
          <w:p w14:paraId="3FC1A309" w14:textId="2FA808EF"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Romania</w:t>
            </w:r>
          </w:p>
        </w:tc>
        <w:tc>
          <w:tcPr>
            <w:tcW w:w="1791" w:type="dxa"/>
          </w:tcPr>
          <w:p w14:paraId="02986E29" w14:textId="5C6B8DCB"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r>
      <w:tr w:rsidR="005B1CC6" w:rsidRPr="002166BB" w14:paraId="6183820D"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12ADFCE0" w14:textId="144AD496"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Denmark</w:t>
            </w:r>
          </w:p>
        </w:tc>
        <w:tc>
          <w:tcPr>
            <w:tcW w:w="1819" w:type="dxa"/>
          </w:tcPr>
          <w:p w14:paraId="37CAD785" w14:textId="07B8369B"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15</w:t>
            </w:r>
          </w:p>
        </w:tc>
        <w:tc>
          <w:tcPr>
            <w:tcW w:w="2717" w:type="dxa"/>
          </w:tcPr>
          <w:p w14:paraId="7BBAE15B" w14:textId="252B7DD6"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Russian Federation</w:t>
            </w:r>
          </w:p>
        </w:tc>
        <w:tc>
          <w:tcPr>
            <w:tcW w:w="1791" w:type="dxa"/>
          </w:tcPr>
          <w:p w14:paraId="4B644A4E" w14:textId="10875376"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r>
      <w:tr w:rsidR="005B1CC6" w:rsidRPr="002166BB" w14:paraId="00811BF4"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7EA04E2D" w14:textId="4F8503F3"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England</w:t>
            </w:r>
          </w:p>
        </w:tc>
        <w:tc>
          <w:tcPr>
            <w:tcW w:w="1819" w:type="dxa"/>
          </w:tcPr>
          <w:p w14:paraId="66E41765" w14:textId="2D648C2C"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10</w:t>
            </w:r>
          </w:p>
        </w:tc>
        <w:tc>
          <w:tcPr>
            <w:tcW w:w="2717" w:type="dxa"/>
          </w:tcPr>
          <w:p w14:paraId="5762720E" w14:textId="32998BBE"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San Marino</w:t>
            </w:r>
          </w:p>
        </w:tc>
        <w:tc>
          <w:tcPr>
            <w:tcW w:w="1791" w:type="dxa"/>
          </w:tcPr>
          <w:p w14:paraId="76BE604B" w14:textId="4792C281"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12</w:t>
            </w:r>
          </w:p>
        </w:tc>
      </w:tr>
      <w:tr w:rsidR="005B1CC6" w:rsidRPr="002166BB" w14:paraId="03DB7929"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4FC77BA4" w14:textId="3A33B784"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Estonia</w:t>
            </w:r>
          </w:p>
        </w:tc>
        <w:tc>
          <w:tcPr>
            <w:tcW w:w="1819" w:type="dxa"/>
          </w:tcPr>
          <w:p w14:paraId="32DF135A" w14:textId="2B373638"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c>
          <w:tcPr>
            <w:tcW w:w="2717" w:type="dxa"/>
          </w:tcPr>
          <w:p w14:paraId="32F63631" w14:textId="36B58B7D"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Scotland</w:t>
            </w:r>
          </w:p>
        </w:tc>
        <w:tc>
          <w:tcPr>
            <w:tcW w:w="1791" w:type="dxa"/>
          </w:tcPr>
          <w:p w14:paraId="2A89CF1E" w14:textId="0E131728"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12</w:t>
            </w:r>
          </w:p>
        </w:tc>
      </w:tr>
      <w:tr w:rsidR="005B1CC6" w:rsidRPr="002166BB" w14:paraId="2E44BDEF"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5067BADF" w14:textId="6D1413CC"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Finland</w:t>
            </w:r>
          </w:p>
        </w:tc>
        <w:tc>
          <w:tcPr>
            <w:tcW w:w="1819" w:type="dxa"/>
          </w:tcPr>
          <w:p w14:paraId="3678EE87" w14:textId="0027C3C3"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15</w:t>
            </w:r>
          </w:p>
        </w:tc>
        <w:tc>
          <w:tcPr>
            <w:tcW w:w="2717" w:type="dxa"/>
          </w:tcPr>
          <w:p w14:paraId="58639200" w14:textId="72EABB24"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Serbia</w:t>
            </w:r>
          </w:p>
        </w:tc>
        <w:tc>
          <w:tcPr>
            <w:tcW w:w="1791" w:type="dxa"/>
          </w:tcPr>
          <w:p w14:paraId="7EE4E57C" w14:textId="321A4E4A"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r>
      <w:tr w:rsidR="005B1CC6" w:rsidRPr="002166BB" w14:paraId="6ACAA44D"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3D49B30A" w14:textId="364878F0"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France</w:t>
            </w:r>
          </w:p>
        </w:tc>
        <w:tc>
          <w:tcPr>
            <w:tcW w:w="1819" w:type="dxa"/>
          </w:tcPr>
          <w:p w14:paraId="4F665408" w14:textId="108DB2E9"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13</w:t>
            </w:r>
          </w:p>
        </w:tc>
        <w:tc>
          <w:tcPr>
            <w:tcW w:w="2717" w:type="dxa"/>
          </w:tcPr>
          <w:p w14:paraId="23B2A919" w14:textId="363A2A40"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Slovakia</w:t>
            </w:r>
          </w:p>
        </w:tc>
        <w:tc>
          <w:tcPr>
            <w:tcW w:w="1791" w:type="dxa"/>
          </w:tcPr>
          <w:p w14:paraId="180DF708" w14:textId="7073AA05"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r>
      <w:tr w:rsidR="005B1CC6" w:rsidRPr="002166BB" w14:paraId="153A402E"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7B0E193A" w14:textId="15546489"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Georgia</w:t>
            </w:r>
          </w:p>
        </w:tc>
        <w:tc>
          <w:tcPr>
            <w:tcW w:w="1819" w:type="dxa"/>
          </w:tcPr>
          <w:p w14:paraId="66EABEA1" w14:textId="2715486C"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c>
          <w:tcPr>
            <w:tcW w:w="2717" w:type="dxa"/>
          </w:tcPr>
          <w:p w14:paraId="56A00A5E" w14:textId="204E7AAE"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Slovenia</w:t>
            </w:r>
          </w:p>
        </w:tc>
        <w:tc>
          <w:tcPr>
            <w:tcW w:w="1791" w:type="dxa"/>
          </w:tcPr>
          <w:p w14:paraId="54BA96DB" w14:textId="7DC5183C"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r>
      <w:tr w:rsidR="005B1CC6" w:rsidRPr="002166BB" w14:paraId="2BA50DE3"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76BCD869" w14:textId="61A18AF9"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Germany</w:t>
            </w:r>
          </w:p>
        </w:tc>
        <w:tc>
          <w:tcPr>
            <w:tcW w:w="1819" w:type="dxa"/>
          </w:tcPr>
          <w:p w14:paraId="45C71AB9" w14:textId="76882CC8"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c>
          <w:tcPr>
            <w:tcW w:w="2717" w:type="dxa"/>
          </w:tcPr>
          <w:p w14:paraId="0258F850" w14:textId="0D3FAA64"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Spain</w:t>
            </w:r>
          </w:p>
        </w:tc>
        <w:tc>
          <w:tcPr>
            <w:tcW w:w="1791" w:type="dxa"/>
          </w:tcPr>
          <w:p w14:paraId="2A3AC505" w14:textId="5E7863B7"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r>
      <w:tr w:rsidR="005B1CC6" w:rsidRPr="002166BB" w14:paraId="1045BCBF"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7612895D" w14:textId="0D5D5CEF"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Greece</w:t>
            </w:r>
          </w:p>
        </w:tc>
        <w:tc>
          <w:tcPr>
            <w:tcW w:w="1819" w:type="dxa"/>
          </w:tcPr>
          <w:p w14:paraId="402CB510" w14:textId="612AE6FF"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15</w:t>
            </w:r>
          </w:p>
        </w:tc>
        <w:tc>
          <w:tcPr>
            <w:tcW w:w="2717" w:type="dxa"/>
          </w:tcPr>
          <w:p w14:paraId="0E2AFF75" w14:textId="4B9655D2"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Sweden</w:t>
            </w:r>
          </w:p>
        </w:tc>
        <w:tc>
          <w:tcPr>
            <w:tcW w:w="1791" w:type="dxa"/>
          </w:tcPr>
          <w:p w14:paraId="2296DA69" w14:textId="61673A2B"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15</w:t>
            </w:r>
          </w:p>
        </w:tc>
      </w:tr>
      <w:tr w:rsidR="005B1CC6" w:rsidRPr="002166BB" w14:paraId="2A2FF556"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5E66B39E" w14:textId="51C2F492"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Hungary</w:t>
            </w:r>
          </w:p>
        </w:tc>
        <w:tc>
          <w:tcPr>
            <w:tcW w:w="1819" w:type="dxa"/>
          </w:tcPr>
          <w:p w14:paraId="25059223" w14:textId="45ECA5AB"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c>
          <w:tcPr>
            <w:tcW w:w="2717" w:type="dxa"/>
          </w:tcPr>
          <w:p w14:paraId="61C4051B" w14:textId="502F7E81"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Switzerland</w:t>
            </w:r>
          </w:p>
        </w:tc>
        <w:tc>
          <w:tcPr>
            <w:tcW w:w="1791" w:type="dxa"/>
          </w:tcPr>
          <w:p w14:paraId="3804C615" w14:textId="4914F082"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10</w:t>
            </w:r>
          </w:p>
        </w:tc>
      </w:tr>
      <w:tr w:rsidR="005B1CC6" w:rsidRPr="002166BB" w14:paraId="2FA05E47"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0CE3B8B1" w14:textId="3F2D6446"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Iceland</w:t>
            </w:r>
          </w:p>
        </w:tc>
        <w:tc>
          <w:tcPr>
            <w:tcW w:w="1819" w:type="dxa"/>
          </w:tcPr>
          <w:p w14:paraId="1731069D" w14:textId="229C7394"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15</w:t>
            </w:r>
          </w:p>
        </w:tc>
        <w:tc>
          <w:tcPr>
            <w:tcW w:w="2717" w:type="dxa"/>
          </w:tcPr>
          <w:p w14:paraId="4ED7843C" w14:textId="435B764E"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Turkey</w:t>
            </w:r>
          </w:p>
        </w:tc>
        <w:tc>
          <w:tcPr>
            <w:tcW w:w="1791" w:type="dxa"/>
          </w:tcPr>
          <w:p w14:paraId="3CF8CB69" w14:textId="26D66854"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12</w:t>
            </w:r>
          </w:p>
        </w:tc>
      </w:tr>
      <w:tr w:rsidR="005B1CC6" w:rsidRPr="002166BB" w14:paraId="04041AC7"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364D892F" w14:textId="4B6CA619"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Ireland</w:t>
            </w:r>
          </w:p>
        </w:tc>
        <w:tc>
          <w:tcPr>
            <w:tcW w:w="1819" w:type="dxa"/>
          </w:tcPr>
          <w:p w14:paraId="57949D2D" w14:textId="670AC22A"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12</w:t>
            </w:r>
          </w:p>
        </w:tc>
        <w:tc>
          <w:tcPr>
            <w:tcW w:w="2717" w:type="dxa"/>
          </w:tcPr>
          <w:p w14:paraId="7B5E9DA9" w14:textId="163564FD"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Ukraine</w:t>
            </w:r>
          </w:p>
        </w:tc>
        <w:tc>
          <w:tcPr>
            <w:tcW w:w="1791" w:type="dxa"/>
          </w:tcPr>
          <w:p w14:paraId="77D3662F" w14:textId="19700CE3"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16</w:t>
            </w:r>
          </w:p>
        </w:tc>
      </w:tr>
      <w:tr w:rsidR="005B1CC6" w:rsidRPr="002166BB" w14:paraId="4060401F"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4EB6EBD5" w14:textId="222CF0AA"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Italy</w:t>
            </w:r>
          </w:p>
        </w:tc>
        <w:tc>
          <w:tcPr>
            <w:tcW w:w="1819" w:type="dxa"/>
          </w:tcPr>
          <w:p w14:paraId="5A822FD5" w14:textId="57016AB1"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c>
          <w:tcPr>
            <w:tcW w:w="2717" w:type="dxa"/>
          </w:tcPr>
          <w:p w14:paraId="4F71D5F8" w14:textId="0D1C492D"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Wales</w:t>
            </w:r>
          </w:p>
        </w:tc>
        <w:tc>
          <w:tcPr>
            <w:tcW w:w="1791" w:type="dxa"/>
          </w:tcPr>
          <w:p w14:paraId="5D2A71E5" w14:textId="7AE2CE61"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10</w:t>
            </w:r>
          </w:p>
        </w:tc>
      </w:tr>
      <w:tr w:rsidR="005B1CC6" w:rsidRPr="002166BB" w14:paraId="43AEEC3F"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1344E0B0" w14:textId="34DA7D0A"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Latvia</w:t>
            </w:r>
          </w:p>
        </w:tc>
        <w:tc>
          <w:tcPr>
            <w:tcW w:w="1819" w:type="dxa"/>
          </w:tcPr>
          <w:p w14:paraId="546C6D58" w14:textId="2115B0FE"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c>
          <w:tcPr>
            <w:tcW w:w="2717" w:type="dxa"/>
          </w:tcPr>
          <w:p w14:paraId="5EABA5A7" w14:textId="77777777"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91" w:type="dxa"/>
          </w:tcPr>
          <w:p w14:paraId="79FEEBF4" w14:textId="77777777"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B1CC6" w:rsidRPr="002166BB" w14:paraId="4BADC4D7"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55ECDC21" w14:textId="60EB11A4"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Liechtenstein</w:t>
            </w:r>
          </w:p>
        </w:tc>
        <w:tc>
          <w:tcPr>
            <w:tcW w:w="1819" w:type="dxa"/>
          </w:tcPr>
          <w:p w14:paraId="7AC5B8A6" w14:textId="59C7239E"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c>
          <w:tcPr>
            <w:tcW w:w="2717" w:type="dxa"/>
          </w:tcPr>
          <w:p w14:paraId="0E49B045" w14:textId="77777777"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91" w:type="dxa"/>
          </w:tcPr>
          <w:p w14:paraId="3BFBF333" w14:textId="77777777"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B1CC6" w:rsidRPr="002166BB" w14:paraId="2272F7FB" w14:textId="77777777" w:rsidTr="007B49F9">
        <w:tc>
          <w:tcPr>
            <w:cnfStyle w:val="001000000000" w:firstRow="0" w:lastRow="0" w:firstColumn="1" w:lastColumn="0" w:oddVBand="0" w:evenVBand="0" w:oddHBand="0" w:evenHBand="0" w:firstRowFirstColumn="0" w:firstRowLastColumn="0" w:lastRowFirstColumn="0" w:lastRowLastColumn="0"/>
            <w:tcW w:w="2689" w:type="dxa"/>
          </w:tcPr>
          <w:p w14:paraId="08CBC107" w14:textId="2A787EE4" w:rsidR="005B1CC6" w:rsidRPr="002166BB" w:rsidRDefault="005B1CC6" w:rsidP="005B1CC6">
            <w:pPr>
              <w:spacing w:line="360" w:lineRule="auto"/>
              <w:rPr>
                <w:rFonts w:ascii="Arial" w:hAnsi="Arial" w:cs="Arial"/>
                <w:b w:val="0"/>
                <w:sz w:val="24"/>
                <w:szCs w:val="24"/>
              </w:rPr>
            </w:pPr>
            <w:r w:rsidRPr="002166BB">
              <w:rPr>
                <w:rFonts w:ascii="Arial" w:hAnsi="Arial" w:cs="Arial"/>
                <w:b w:val="0"/>
                <w:sz w:val="24"/>
                <w:szCs w:val="24"/>
              </w:rPr>
              <w:t>Lithuania</w:t>
            </w:r>
          </w:p>
        </w:tc>
        <w:tc>
          <w:tcPr>
            <w:tcW w:w="1819" w:type="dxa"/>
          </w:tcPr>
          <w:p w14:paraId="0BB8EA0F" w14:textId="4171A1F6"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166BB">
              <w:rPr>
                <w:rFonts w:ascii="Arial" w:hAnsi="Arial" w:cs="Arial"/>
                <w:sz w:val="24"/>
                <w:szCs w:val="24"/>
              </w:rPr>
              <w:t>14</w:t>
            </w:r>
          </w:p>
        </w:tc>
        <w:tc>
          <w:tcPr>
            <w:tcW w:w="2717" w:type="dxa"/>
          </w:tcPr>
          <w:p w14:paraId="4FF803FC" w14:textId="77777777" w:rsidR="005B1CC6" w:rsidRPr="002166BB" w:rsidRDefault="005B1CC6" w:rsidP="005B1CC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791" w:type="dxa"/>
          </w:tcPr>
          <w:p w14:paraId="78BDBFC6" w14:textId="77777777" w:rsidR="005B1CC6" w:rsidRPr="002166BB" w:rsidRDefault="005B1CC6" w:rsidP="005B1CC6">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6A585B2B" w14:textId="007E7453" w:rsidR="007B49F9" w:rsidRPr="002166BB" w:rsidRDefault="007B49F9" w:rsidP="007B49F9">
      <w:pPr>
        <w:spacing w:after="0" w:line="360" w:lineRule="auto"/>
        <w:jc w:val="right"/>
        <w:rPr>
          <w:rFonts w:ascii="Arial" w:hAnsi="Arial" w:cs="Arial"/>
          <w:b/>
          <w:sz w:val="24"/>
          <w:szCs w:val="24"/>
        </w:rPr>
      </w:pPr>
    </w:p>
    <w:p w14:paraId="743288DA" w14:textId="1462731C" w:rsidR="005B1CC6" w:rsidRPr="006967E2" w:rsidRDefault="005B1CC6" w:rsidP="005B1CC6">
      <w:pPr>
        <w:spacing w:after="0" w:line="240" w:lineRule="auto"/>
        <w:rPr>
          <w:rFonts w:cstheme="minorHAnsi"/>
          <w:sz w:val="20"/>
          <w:szCs w:val="20"/>
        </w:rPr>
        <w:sectPr w:rsidR="005B1CC6" w:rsidRPr="006967E2">
          <w:headerReference w:type="default" r:id="rId11"/>
          <w:pgSz w:w="11906" w:h="16838"/>
          <w:pgMar w:top="1440" w:right="1440" w:bottom="1440" w:left="1440" w:header="708" w:footer="708" w:gutter="0"/>
          <w:cols w:space="708"/>
          <w:docGrid w:linePitch="360"/>
        </w:sectPr>
      </w:pPr>
      <w:r w:rsidRPr="006967E2">
        <w:rPr>
          <w:rFonts w:cstheme="minorHAnsi"/>
          <w:sz w:val="20"/>
          <w:szCs w:val="20"/>
        </w:rPr>
        <w:t xml:space="preserve">Source: Child Rights International Network, (2019) Minimum Age of Criminal Responsibility in Europe, available at: </w:t>
      </w:r>
      <w:hyperlink r:id="rId12" w:history="1">
        <w:r w:rsidRPr="006967E2">
          <w:rPr>
            <w:rStyle w:val="Hyperlink"/>
            <w:rFonts w:cstheme="minorHAnsi"/>
            <w:sz w:val="20"/>
            <w:szCs w:val="20"/>
          </w:rPr>
          <w:t>https://archive.crin.org/en/home/ages/europe.html</w:t>
        </w:r>
      </w:hyperlink>
      <w:r w:rsidRPr="006967E2">
        <w:rPr>
          <w:rFonts w:cstheme="minorHAnsi"/>
          <w:sz w:val="20"/>
          <w:szCs w:val="20"/>
        </w:rPr>
        <w:t xml:space="preserve"> </w:t>
      </w:r>
    </w:p>
    <w:p w14:paraId="0300FDD0" w14:textId="77777777" w:rsidR="005E0341" w:rsidRDefault="005E0341" w:rsidP="005E0341">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Prosecutions at court and</w:t>
      </w:r>
      <w:r w:rsidR="00344134" w:rsidRPr="002166BB">
        <w:rPr>
          <w:rFonts w:ascii="Arial" w:hAnsi="Arial" w:cs="Arial"/>
          <w:b/>
          <w:color w:val="000000"/>
          <w:sz w:val="24"/>
          <w:szCs w:val="24"/>
        </w:rPr>
        <w:t xml:space="preserve"> out of court disposals </w:t>
      </w:r>
    </w:p>
    <w:p w14:paraId="53AA1FB4" w14:textId="398D7652" w:rsidR="00344134" w:rsidRPr="002166BB" w:rsidRDefault="00344134" w:rsidP="005E0341">
      <w:pPr>
        <w:spacing w:after="0" w:line="240" w:lineRule="auto"/>
        <w:jc w:val="center"/>
        <w:rPr>
          <w:rFonts w:ascii="Arial" w:hAnsi="Arial" w:cs="Arial"/>
          <w:sz w:val="24"/>
          <w:szCs w:val="24"/>
        </w:rPr>
      </w:pPr>
      <w:r w:rsidRPr="002166BB">
        <w:rPr>
          <w:rFonts w:ascii="Arial" w:hAnsi="Arial" w:cs="Arial"/>
          <w:b/>
          <w:color w:val="000000"/>
          <w:sz w:val="24"/>
          <w:szCs w:val="24"/>
        </w:rPr>
        <w:t>(for children aged between 10 and 17)</w:t>
      </w:r>
    </w:p>
    <w:p w14:paraId="4B51F2BF" w14:textId="592B8FBC" w:rsidR="00344134" w:rsidRPr="002166BB" w:rsidRDefault="00344134" w:rsidP="00DD2E6E">
      <w:pPr>
        <w:spacing w:after="0" w:line="360" w:lineRule="auto"/>
        <w:rPr>
          <w:rFonts w:ascii="Arial" w:hAnsi="Arial" w:cs="Arial"/>
          <w:sz w:val="24"/>
          <w:szCs w:val="24"/>
        </w:rPr>
      </w:pPr>
    </w:p>
    <w:p w14:paraId="77360845" w14:textId="3370E351" w:rsidR="00BF43AE" w:rsidRPr="002166BB" w:rsidRDefault="003446C8" w:rsidP="003446C8">
      <w:pPr>
        <w:spacing w:after="0" w:line="360" w:lineRule="auto"/>
        <w:jc w:val="center"/>
        <w:rPr>
          <w:rFonts w:ascii="Arial" w:hAnsi="Arial" w:cs="Arial"/>
          <w:sz w:val="24"/>
          <w:szCs w:val="24"/>
        </w:rPr>
      </w:pPr>
      <w:r>
        <w:rPr>
          <w:rFonts w:ascii="Arial" w:hAnsi="Arial" w:cs="Arial"/>
          <w:noProof/>
          <w:sz w:val="24"/>
          <w:szCs w:val="24"/>
          <w:lang w:eastAsia="en-GB"/>
        </w:rPr>
        <w:drawing>
          <wp:inline distT="0" distB="0" distL="0" distR="0" wp14:anchorId="464ABA87" wp14:editId="75F1A9CC">
            <wp:extent cx="5924619" cy="424800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4619" cy="4248000"/>
                    </a:xfrm>
                    <a:prstGeom prst="rect">
                      <a:avLst/>
                    </a:prstGeom>
                    <a:noFill/>
                  </pic:spPr>
                </pic:pic>
              </a:graphicData>
            </a:graphic>
          </wp:inline>
        </w:drawing>
      </w:r>
      <w:bookmarkStart w:id="0" w:name="_GoBack"/>
      <w:bookmarkEnd w:id="0"/>
    </w:p>
    <w:p w14:paraId="1197AA72" w14:textId="77777777" w:rsidR="00BF43AE" w:rsidRPr="002166BB" w:rsidRDefault="00BF43AE" w:rsidP="00DD2E6E">
      <w:pPr>
        <w:spacing w:after="0" w:line="360" w:lineRule="auto"/>
        <w:rPr>
          <w:rFonts w:ascii="Arial" w:hAnsi="Arial" w:cs="Arial"/>
          <w:sz w:val="24"/>
          <w:szCs w:val="24"/>
        </w:rPr>
      </w:pPr>
    </w:p>
    <w:p w14:paraId="49CBF13D" w14:textId="36205B52" w:rsidR="00DE57F2" w:rsidRPr="003446C8" w:rsidRDefault="00DE57F2" w:rsidP="005E0341">
      <w:pPr>
        <w:spacing w:after="0" w:line="240" w:lineRule="auto"/>
        <w:rPr>
          <w:rFonts w:ascii="Arial" w:hAnsi="Arial" w:cs="Arial"/>
          <w:b/>
          <w:sz w:val="24"/>
          <w:szCs w:val="24"/>
        </w:rPr>
      </w:pPr>
      <w:r w:rsidRPr="003446C8">
        <w:rPr>
          <w:rFonts w:ascii="Arial" w:hAnsi="Arial" w:cs="Arial"/>
          <w:b/>
          <w:sz w:val="24"/>
          <w:szCs w:val="24"/>
        </w:rPr>
        <w:t>Note</w:t>
      </w:r>
      <w:r w:rsidR="00BF43AE" w:rsidRPr="003446C8">
        <w:rPr>
          <w:rFonts w:ascii="Arial" w:hAnsi="Arial" w:cs="Arial"/>
          <w:b/>
          <w:sz w:val="24"/>
          <w:szCs w:val="24"/>
        </w:rPr>
        <w:t>s</w:t>
      </w:r>
      <w:r w:rsidRPr="003446C8">
        <w:rPr>
          <w:rFonts w:ascii="Arial" w:hAnsi="Arial" w:cs="Arial"/>
          <w:b/>
          <w:sz w:val="24"/>
          <w:szCs w:val="24"/>
        </w:rPr>
        <w:t>:</w:t>
      </w:r>
    </w:p>
    <w:p w14:paraId="2FF29531" w14:textId="259DBF7A" w:rsidR="00DE57F2" w:rsidRPr="003446C8" w:rsidRDefault="00DE57F2" w:rsidP="003446C8">
      <w:pPr>
        <w:pStyle w:val="ListParagraph"/>
        <w:numPr>
          <w:ilvl w:val="0"/>
          <w:numId w:val="9"/>
        </w:numPr>
        <w:spacing w:after="120" w:line="240" w:lineRule="auto"/>
        <w:ind w:left="357" w:hanging="357"/>
        <w:contextualSpacing w:val="0"/>
        <w:rPr>
          <w:rFonts w:ascii="Arial" w:hAnsi="Arial" w:cs="Arial"/>
          <w:sz w:val="24"/>
          <w:szCs w:val="24"/>
        </w:rPr>
      </w:pPr>
      <w:r w:rsidRPr="003446C8">
        <w:rPr>
          <w:rFonts w:ascii="Arial" w:hAnsi="Arial" w:cs="Arial"/>
          <w:sz w:val="24"/>
          <w:szCs w:val="24"/>
        </w:rPr>
        <w:t>Age is in relation to age at offence date.</w:t>
      </w:r>
    </w:p>
    <w:p w14:paraId="21DA560A" w14:textId="64A96AD0" w:rsidR="00CF35B1" w:rsidRPr="003446C8" w:rsidRDefault="00DE57F2" w:rsidP="003446C8">
      <w:pPr>
        <w:pStyle w:val="ListParagraph"/>
        <w:numPr>
          <w:ilvl w:val="0"/>
          <w:numId w:val="9"/>
        </w:numPr>
        <w:spacing w:after="120" w:line="240" w:lineRule="auto"/>
        <w:ind w:left="357" w:hanging="357"/>
        <w:contextualSpacing w:val="0"/>
        <w:rPr>
          <w:rFonts w:ascii="Arial" w:hAnsi="Arial" w:cs="Arial"/>
          <w:color w:val="000000"/>
          <w:sz w:val="24"/>
          <w:szCs w:val="24"/>
        </w:rPr>
      </w:pPr>
      <w:r w:rsidRPr="003446C8">
        <w:rPr>
          <w:rFonts w:ascii="Arial" w:hAnsi="Arial" w:cs="Arial"/>
          <w:sz w:val="24"/>
          <w:szCs w:val="24"/>
        </w:rPr>
        <w:t>Figures for prosecutions at court relate to case disposed at court whether the outcome was a conviction or not.</w:t>
      </w:r>
      <w:r w:rsidR="00BF43AE" w:rsidRPr="003446C8">
        <w:rPr>
          <w:rFonts w:ascii="Arial" w:hAnsi="Arial" w:cs="Arial"/>
          <w:sz w:val="24"/>
          <w:szCs w:val="24"/>
        </w:rPr>
        <w:t xml:space="preserve">  </w:t>
      </w:r>
      <w:r w:rsidR="00344134" w:rsidRPr="003446C8">
        <w:rPr>
          <w:rFonts w:ascii="Arial" w:hAnsi="Arial" w:cs="Arial"/>
          <w:color w:val="000000"/>
          <w:sz w:val="24"/>
          <w:szCs w:val="24"/>
        </w:rPr>
        <w:t>Some may have resulted in a not guilty verdict.</w:t>
      </w:r>
    </w:p>
    <w:p w14:paraId="54C56555" w14:textId="77777777" w:rsidR="003446C8" w:rsidRPr="003446C8" w:rsidRDefault="003446C8" w:rsidP="003446C8">
      <w:pPr>
        <w:pStyle w:val="ListParagraph"/>
        <w:numPr>
          <w:ilvl w:val="0"/>
          <w:numId w:val="9"/>
        </w:numPr>
        <w:spacing w:after="120" w:line="240" w:lineRule="auto"/>
        <w:ind w:left="357" w:hanging="357"/>
        <w:contextualSpacing w:val="0"/>
        <w:rPr>
          <w:rFonts w:ascii="Arial" w:hAnsi="Arial" w:cs="Arial"/>
          <w:sz w:val="24"/>
          <w:szCs w:val="24"/>
        </w:rPr>
      </w:pPr>
      <w:r w:rsidRPr="003446C8">
        <w:rPr>
          <w:rFonts w:ascii="Arial" w:hAnsi="Arial" w:cs="Arial"/>
          <w:sz w:val="24"/>
          <w:szCs w:val="24"/>
        </w:rPr>
        <w:t>Figures for diversionary disposals include cautions, informed warnings, community based restorative justice outcomes and Youth Conference Plans.</w:t>
      </w:r>
    </w:p>
    <w:p w14:paraId="3D6ACEA7" w14:textId="5DCA2DBC" w:rsidR="0002522A" w:rsidRPr="003446C8" w:rsidRDefault="003446C8" w:rsidP="003446C8">
      <w:pPr>
        <w:pStyle w:val="ListParagraph"/>
        <w:numPr>
          <w:ilvl w:val="0"/>
          <w:numId w:val="9"/>
        </w:numPr>
        <w:spacing w:after="120" w:line="240" w:lineRule="auto"/>
        <w:ind w:left="357" w:hanging="357"/>
        <w:contextualSpacing w:val="0"/>
        <w:rPr>
          <w:rFonts w:ascii="Arial" w:hAnsi="Arial" w:cs="Arial"/>
          <w:sz w:val="24"/>
          <w:szCs w:val="24"/>
        </w:rPr>
      </w:pPr>
      <w:r>
        <w:rPr>
          <w:rFonts w:ascii="Arial" w:hAnsi="Arial" w:cs="Arial"/>
          <w:sz w:val="24"/>
          <w:szCs w:val="24"/>
        </w:rPr>
        <w:t>2020 figures (</w:t>
      </w:r>
      <w:r w:rsidR="00CF35B1" w:rsidRPr="003446C8">
        <w:rPr>
          <w:rFonts w:ascii="Arial" w:hAnsi="Arial" w:cs="Arial"/>
          <w:sz w:val="24"/>
          <w:szCs w:val="24"/>
        </w:rPr>
        <w:t>shaded column) were significantly impacted by Covid and are not</w:t>
      </w:r>
      <w:r w:rsidR="0002522A" w:rsidRPr="003446C8">
        <w:rPr>
          <w:rFonts w:ascii="Arial" w:hAnsi="Arial" w:cs="Arial"/>
          <w:sz w:val="24"/>
          <w:szCs w:val="24"/>
        </w:rPr>
        <w:t xml:space="preserve"> therefore fully representative.</w:t>
      </w:r>
    </w:p>
    <w:p w14:paraId="2B661AE1" w14:textId="77777777" w:rsidR="00466E02" w:rsidRPr="003446C8" w:rsidRDefault="00466E02" w:rsidP="003446C8">
      <w:pPr>
        <w:pStyle w:val="ListParagraph"/>
        <w:spacing w:after="0" w:line="240" w:lineRule="auto"/>
        <w:ind w:left="360"/>
        <w:rPr>
          <w:rFonts w:ascii="Arial" w:hAnsi="Arial" w:cs="Arial"/>
          <w:sz w:val="24"/>
          <w:szCs w:val="24"/>
        </w:rPr>
      </w:pPr>
    </w:p>
    <w:p w14:paraId="0721E5C2" w14:textId="77777777" w:rsidR="00466E02" w:rsidRPr="00466E02" w:rsidRDefault="00466E02" w:rsidP="00466E02">
      <w:pPr>
        <w:spacing w:after="0"/>
        <w:rPr>
          <w:rFonts w:ascii="Arial" w:hAnsi="Arial" w:cs="Arial"/>
          <w:sz w:val="24"/>
          <w:szCs w:val="24"/>
        </w:rPr>
      </w:pPr>
    </w:p>
    <w:p w14:paraId="6B4C41AB" w14:textId="67801EFA" w:rsidR="00466E02" w:rsidRPr="00466E02" w:rsidRDefault="00466E02" w:rsidP="00466E02">
      <w:pPr>
        <w:spacing w:after="0" w:line="360" w:lineRule="auto"/>
        <w:rPr>
          <w:rFonts w:ascii="Arial" w:hAnsi="Arial" w:cs="Arial"/>
          <w:sz w:val="24"/>
          <w:szCs w:val="24"/>
        </w:rPr>
      </w:pPr>
    </w:p>
    <w:sectPr w:rsidR="00466E02" w:rsidRPr="00466E02" w:rsidSect="00F64CB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85F09" w14:textId="77777777" w:rsidR="00A660EF" w:rsidRDefault="00A660EF" w:rsidP="00832FD2">
      <w:pPr>
        <w:spacing w:after="0" w:line="240" w:lineRule="auto"/>
      </w:pPr>
      <w:r>
        <w:separator/>
      </w:r>
    </w:p>
  </w:endnote>
  <w:endnote w:type="continuationSeparator" w:id="0">
    <w:p w14:paraId="7D5A73BE" w14:textId="77777777" w:rsidR="00A660EF" w:rsidRDefault="00A660EF" w:rsidP="0083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HNNIX+Perpetua-Bold">
    <w:altName w:val="Perpetua"/>
    <w:panose1 w:val="00000000000000000000"/>
    <w:charset w:val="00"/>
    <w:family w:val="swiss"/>
    <w:notTrueType/>
    <w:pitch w:val="default"/>
    <w:sig w:usb0="00000003" w:usb1="00000000" w:usb2="00000000" w:usb3="00000000" w:csb0="00000001" w:csb1="00000000"/>
  </w:font>
  <w:font w:name="AGFIE L+ Adv O T 0e 40dc 65">
    <w:altName w:val="Adv OT 0e 40d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046901"/>
      <w:docPartObj>
        <w:docPartGallery w:val="Page Numbers (Bottom of Page)"/>
        <w:docPartUnique/>
      </w:docPartObj>
    </w:sdtPr>
    <w:sdtEndPr>
      <w:rPr>
        <w:noProof/>
      </w:rPr>
    </w:sdtEndPr>
    <w:sdtContent>
      <w:p w14:paraId="27C1F463" w14:textId="3E95BD03" w:rsidR="00F64CB6" w:rsidRDefault="00F64CB6">
        <w:pPr>
          <w:pStyle w:val="Footer"/>
        </w:pPr>
        <w:r>
          <w:fldChar w:fldCharType="begin"/>
        </w:r>
        <w:r>
          <w:instrText xml:space="preserve"> PAGE   \* MERGEFORMAT </w:instrText>
        </w:r>
        <w:r>
          <w:fldChar w:fldCharType="separate"/>
        </w:r>
        <w:r w:rsidR="003446C8">
          <w:rPr>
            <w:noProof/>
          </w:rPr>
          <w:t>12</w:t>
        </w:r>
        <w:r>
          <w:rPr>
            <w:noProof/>
          </w:rPr>
          <w:fldChar w:fldCharType="end"/>
        </w:r>
      </w:p>
    </w:sdtContent>
  </w:sdt>
  <w:p w14:paraId="31A33140" w14:textId="77777777" w:rsidR="00F64CB6" w:rsidRDefault="00F64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781032"/>
      <w:docPartObj>
        <w:docPartGallery w:val="Page Numbers (Bottom of Page)"/>
        <w:docPartUnique/>
      </w:docPartObj>
    </w:sdtPr>
    <w:sdtEndPr>
      <w:rPr>
        <w:noProof/>
      </w:rPr>
    </w:sdtEndPr>
    <w:sdtContent>
      <w:p w14:paraId="1C119902" w14:textId="36AD46F8" w:rsidR="00F64CB6" w:rsidRDefault="00F64CB6">
        <w:pPr>
          <w:pStyle w:val="Footer"/>
        </w:pPr>
        <w:r>
          <w:fldChar w:fldCharType="begin"/>
        </w:r>
        <w:r>
          <w:instrText xml:space="preserve"> PAGE   \* MERGEFORMAT </w:instrText>
        </w:r>
        <w:r>
          <w:fldChar w:fldCharType="separate"/>
        </w:r>
        <w:r w:rsidR="003446C8">
          <w:rPr>
            <w:noProof/>
          </w:rPr>
          <w:t>13</w:t>
        </w:r>
        <w:r>
          <w:rPr>
            <w:noProof/>
          </w:rPr>
          <w:fldChar w:fldCharType="end"/>
        </w:r>
      </w:p>
    </w:sdtContent>
  </w:sdt>
  <w:p w14:paraId="2A20FF98" w14:textId="77777777" w:rsidR="00771D2C" w:rsidRDefault="00A51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F4D25" w14:textId="77777777" w:rsidR="00A660EF" w:rsidRDefault="00A660EF" w:rsidP="00832FD2">
      <w:pPr>
        <w:spacing w:after="0" w:line="240" w:lineRule="auto"/>
      </w:pPr>
      <w:r>
        <w:separator/>
      </w:r>
    </w:p>
  </w:footnote>
  <w:footnote w:type="continuationSeparator" w:id="0">
    <w:p w14:paraId="3FB0034F" w14:textId="77777777" w:rsidR="00A660EF" w:rsidRDefault="00A660EF" w:rsidP="00832FD2">
      <w:pPr>
        <w:spacing w:after="0" w:line="240" w:lineRule="auto"/>
      </w:pPr>
      <w:r>
        <w:continuationSeparator/>
      </w:r>
    </w:p>
  </w:footnote>
  <w:footnote w:id="1">
    <w:p w14:paraId="5B21B285" w14:textId="77777777" w:rsidR="00832FD2" w:rsidRDefault="00832FD2">
      <w:pPr>
        <w:pStyle w:val="FootnoteText"/>
      </w:pPr>
      <w:r>
        <w:rPr>
          <w:rStyle w:val="FootnoteReference"/>
        </w:rPr>
        <w:footnoteRef/>
      </w:r>
      <w:r w:rsidR="007A2ACB">
        <w:t xml:space="preserve"> United Nations (2019) – Committee on the Rights of the Child:</w:t>
      </w:r>
      <w:r>
        <w:t xml:space="preserve"> General </w:t>
      </w:r>
      <w:r w:rsidR="007A2ACB">
        <w:t>c</w:t>
      </w:r>
      <w:r>
        <w:t>omment No. 24 (2019) on children’s rights in the child justice system</w:t>
      </w:r>
      <w:r w:rsidRPr="007A2ACB">
        <w:rPr>
          <w:rFonts w:ascii="Calibri" w:hAnsi="Calibri" w:cs="Calibri"/>
        </w:rPr>
        <w:t xml:space="preserve"> -</w:t>
      </w:r>
      <w:r w:rsidR="007A2ACB">
        <w:rPr>
          <w:rFonts w:ascii="Calibri" w:hAnsi="Calibri" w:cs="Calibri"/>
        </w:rPr>
        <w:t xml:space="preserve"> CRC</w:t>
      </w:r>
      <w:r w:rsidRPr="007A2ACB">
        <w:rPr>
          <w:rFonts w:ascii="Calibri" w:hAnsi="Calibri" w:cs="Calibri"/>
        </w:rPr>
        <w:t>/C/GC/24</w:t>
      </w:r>
    </w:p>
  </w:footnote>
  <w:footnote w:id="2">
    <w:p w14:paraId="3809116C" w14:textId="65599E7F" w:rsidR="00DD2E6E" w:rsidRDefault="00DD2E6E">
      <w:pPr>
        <w:pStyle w:val="FootnoteText"/>
      </w:pPr>
      <w:r>
        <w:rPr>
          <w:rStyle w:val="FootnoteReference"/>
        </w:rPr>
        <w:footnoteRef/>
      </w:r>
      <w:r>
        <w:t xml:space="preserve"> Brain Waves Module 4 – Neuroscience and the Law – December 2011 – Royal Society </w:t>
      </w:r>
    </w:p>
  </w:footnote>
  <w:footnote w:id="3">
    <w:p w14:paraId="40C186F5" w14:textId="1676D2C2" w:rsidR="00927300" w:rsidRDefault="00927300">
      <w:pPr>
        <w:pStyle w:val="FootnoteText"/>
      </w:pPr>
      <w:r>
        <w:rPr>
          <w:rStyle w:val="FootnoteReference"/>
        </w:rPr>
        <w:footnoteRef/>
      </w:r>
      <w:r>
        <w:t xml:space="preserve"> </w:t>
      </w:r>
      <w:r w:rsidRPr="00927300">
        <w:t>Sowell, E.R., Thompson, P.M., Holmes, C.J., Jernigan, T.L. &amp; Toga, A.W. (1999). In vivo evidence for post-adolescent brain maturation in frontal and striatal regions. Nat. Neurosci. 2, 859–61</w:t>
      </w:r>
      <w:r>
        <w:t xml:space="preserve">;  </w:t>
      </w:r>
      <w:r w:rsidRPr="00927300">
        <w:t>Giedd, J. N. &amp; Rapoport, J. L. (2010). Structural MRI of pediatric brain development: what have we learned and where are we going? Neuron 67, 728–34</w:t>
      </w:r>
    </w:p>
  </w:footnote>
  <w:footnote w:id="4">
    <w:p w14:paraId="36CA6D83" w14:textId="77777777" w:rsidR="003218E8" w:rsidRDefault="003218E8">
      <w:pPr>
        <w:pStyle w:val="FootnoteText"/>
      </w:pPr>
      <w:r>
        <w:rPr>
          <w:rStyle w:val="FootnoteReference"/>
        </w:rPr>
        <w:footnoteRef/>
      </w:r>
      <w:r>
        <w:t xml:space="preserve"> McAra, L. and McVie, S. (2007) “Youth Justice? The impact of system contact on patterns of desistance from off ending” – European Journal of Criminology, 4(3), 315-45</w:t>
      </w:r>
    </w:p>
  </w:footnote>
  <w:footnote w:id="5">
    <w:p w14:paraId="56A57872" w14:textId="226972BB" w:rsidR="007B6D9D" w:rsidRPr="007B6D9D" w:rsidRDefault="007B6D9D" w:rsidP="007B6D9D">
      <w:pPr>
        <w:pStyle w:val="Default"/>
        <w:rPr>
          <w:rFonts w:ascii="AGFIE L+ Adv O T 0e 40dc 65" w:hAnsi="AGFIE L+ Adv O T 0e 40dc 65" w:cs="AGFIE L+ Adv O T 0e 40dc 65"/>
        </w:rPr>
      </w:pPr>
      <w:r w:rsidRPr="007B6D9D">
        <w:rPr>
          <w:rStyle w:val="FootnoteReference"/>
          <w:rFonts w:asciiTheme="minorHAnsi" w:hAnsiTheme="minorHAnsi" w:cstheme="minorHAnsi"/>
          <w:sz w:val="20"/>
          <w:szCs w:val="20"/>
        </w:rPr>
        <w:footnoteRef/>
      </w:r>
      <w:r w:rsidRPr="007B6D9D">
        <w:rPr>
          <w:rFonts w:asciiTheme="minorHAnsi" w:hAnsiTheme="minorHAnsi" w:cstheme="minorHAnsi"/>
          <w:sz w:val="20"/>
          <w:szCs w:val="20"/>
        </w:rPr>
        <w:t xml:space="preserve"> Cauffman</w:t>
      </w:r>
      <w:r w:rsidRPr="007B6D9D">
        <w:rPr>
          <w:rFonts w:asciiTheme="minorHAnsi" w:hAnsiTheme="minorHAnsi" w:cstheme="minorHAnsi"/>
          <w:position w:val="7"/>
          <w:sz w:val="20"/>
          <w:szCs w:val="20"/>
          <w:vertAlign w:val="superscript"/>
        </w:rPr>
        <w:t xml:space="preserve"> </w:t>
      </w:r>
      <w:r w:rsidRPr="007B6D9D">
        <w:rPr>
          <w:rFonts w:asciiTheme="minorHAnsi" w:hAnsiTheme="minorHAnsi" w:cstheme="minorHAnsi"/>
          <w:sz w:val="20"/>
          <w:szCs w:val="20"/>
        </w:rPr>
        <w:t>,</w:t>
      </w:r>
      <w:r w:rsidR="00293C60">
        <w:rPr>
          <w:rFonts w:asciiTheme="minorHAnsi" w:hAnsiTheme="minorHAnsi" w:cstheme="minorHAnsi"/>
          <w:sz w:val="20"/>
          <w:szCs w:val="20"/>
        </w:rPr>
        <w:t xml:space="preserve"> E.</w:t>
      </w:r>
      <w:r w:rsidRPr="007B6D9D">
        <w:rPr>
          <w:rFonts w:asciiTheme="minorHAnsi" w:hAnsiTheme="minorHAnsi" w:cstheme="minorHAnsi"/>
          <w:sz w:val="20"/>
          <w:szCs w:val="20"/>
        </w:rPr>
        <w:t xml:space="preserve"> Beardslee</w:t>
      </w:r>
      <w:r w:rsidR="00293C60">
        <w:rPr>
          <w:rFonts w:asciiTheme="minorHAnsi" w:hAnsiTheme="minorHAnsi" w:cstheme="minorHAnsi"/>
          <w:sz w:val="20"/>
          <w:szCs w:val="20"/>
        </w:rPr>
        <w:t>, J.</w:t>
      </w:r>
      <w:r w:rsidRPr="007B6D9D">
        <w:rPr>
          <w:rFonts w:asciiTheme="minorHAnsi" w:hAnsiTheme="minorHAnsi" w:cstheme="minorHAnsi"/>
          <w:sz w:val="20"/>
          <w:szCs w:val="20"/>
        </w:rPr>
        <w:t xml:space="preserve"> Fine</w:t>
      </w:r>
      <w:r>
        <w:rPr>
          <w:rFonts w:asciiTheme="minorHAnsi" w:hAnsiTheme="minorHAnsi" w:cstheme="minorHAnsi"/>
          <w:sz w:val="20"/>
          <w:szCs w:val="20"/>
        </w:rPr>
        <w:t>,</w:t>
      </w:r>
      <w:r w:rsidR="00293C60">
        <w:rPr>
          <w:rFonts w:asciiTheme="minorHAnsi" w:hAnsiTheme="minorHAnsi" w:cstheme="minorHAnsi"/>
          <w:sz w:val="20"/>
          <w:szCs w:val="20"/>
        </w:rPr>
        <w:t xml:space="preserve"> A. </w:t>
      </w:r>
      <w:r w:rsidRPr="007B6D9D">
        <w:rPr>
          <w:rFonts w:asciiTheme="minorHAnsi" w:hAnsiTheme="minorHAnsi" w:cstheme="minorHAnsi"/>
          <w:sz w:val="20"/>
          <w:szCs w:val="20"/>
        </w:rPr>
        <w:t xml:space="preserve"> Frick</w:t>
      </w:r>
      <w:r w:rsidR="00293C60">
        <w:rPr>
          <w:rFonts w:asciiTheme="minorHAnsi" w:hAnsiTheme="minorHAnsi" w:cstheme="minorHAnsi"/>
          <w:sz w:val="20"/>
          <w:szCs w:val="20"/>
        </w:rPr>
        <w:t>, P. J.</w:t>
      </w:r>
      <w:r>
        <w:rPr>
          <w:rFonts w:asciiTheme="minorHAnsi" w:hAnsiTheme="minorHAnsi" w:cstheme="minorHAnsi"/>
          <w:position w:val="7"/>
          <w:sz w:val="20"/>
          <w:szCs w:val="20"/>
          <w:vertAlign w:val="superscript"/>
        </w:rPr>
        <w:t xml:space="preserve"> </w:t>
      </w:r>
      <w:r w:rsidRPr="007B6D9D">
        <w:rPr>
          <w:rFonts w:asciiTheme="minorHAnsi" w:hAnsiTheme="minorHAnsi" w:cstheme="minorHAnsi"/>
          <w:sz w:val="20"/>
          <w:szCs w:val="20"/>
        </w:rPr>
        <w:t>and Steinberg</w:t>
      </w:r>
      <w:r w:rsidR="00293C60">
        <w:rPr>
          <w:rFonts w:asciiTheme="minorHAnsi" w:hAnsiTheme="minorHAnsi" w:cstheme="minorHAnsi"/>
          <w:sz w:val="20"/>
          <w:szCs w:val="20"/>
        </w:rPr>
        <w:t>, L.</w:t>
      </w:r>
      <w:r>
        <w:rPr>
          <w:rFonts w:asciiTheme="minorHAnsi" w:hAnsiTheme="minorHAnsi" w:cstheme="minorHAnsi"/>
          <w:sz w:val="20"/>
          <w:szCs w:val="20"/>
        </w:rPr>
        <w:t xml:space="preserve"> </w:t>
      </w:r>
      <w:r w:rsidR="00293C60">
        <w:rPr>
          <w:rFonts w:asciiTheme="minorHAnsi" w:hAnsiTheme="minorHAnsi" w:cstheme="minorHAnsi"/>
          <w:sz w:val="20"/>
          <w:szCs w:val="20"/>
        </w:rPr>
        <w:t xml:space="preserve">(2020) </w:t>
      </w:r>
      <w:r>
        <w:rPr>
          <w:rFonts w:asciiTheme="minorHAnsi" w:hAnsiTheme="minorHAnsi" w:cstheme="minorHAnsi"/>
          <w:sz w:val="20"/>
          <w:szCs w:val="20"/>
        </w:rPr>
        <w:t>-</w:t>
      </w:r>
      <w:r w:rsidRPr="007B6D9D">
        <w:rPr>
          <w:rFonts w:ascii="AGFIE L+ Adv O T 0e 40dc 65" w:hAnsi="AGFIE L+ Adv O T 0e 40dc 65" w:cs="AGFIE L+ Adv O T 0e 40dc 65"/>
          <w:position w:val="7"/>
          <w:sz w:val="14"/>
          <w:szCs w:val="14"/>
          <w:vertAlign w:val="superscript"/>
        </w:rPr>
        <w:t xml:space="preserve"> </w:t>
      </w:r>
      <w:r w:rsidRPr="007B6D9D">
        <w:rPr>
          <w:rFonts w:asciiTheme="minorHAnsi" w:hAnsiTheme="minorHAnsi" w:cstheme="minorHAnsi"/>
          <w:sz w:val="20"/>
          <w:szCs w:val="20"/>
        </w:rPr>
        <w:t>Crossroads in juvenile justice: The impact of initial processing decision on youth 5 years after first arrest</w:t>
      </w:r>
      <w:r>
        <w:rPr>
          <w:rFonts w:asciiTheme="minorHAnsi" w:hAnsiTheme="minorHAnsi" w:cstheme="minorHAnsi"/>
          <w:sz w:val="20"/>
          <w:szCs w:val="20"/>
        </w:rPr>
        <w:t xml:space="preserve"> </w:t>
      </w:r>
    </w:p>
  </w:footnote>
  <w:footnote w:id="6">
    <w:p w14:paraId="0FDA1110" w14:textId="77777777" w:rsidR="003F0996" w:rsidRDefault="003F0996">
      <w:pPr>
        <w:pStyle w:val="FootnoteText"/>
      </w:pPr>
      <w:r>
        <w:rPr>
          <w:rStyle w:val="FootnoteReference"/>
        </w:rPr>
        <w:footnoteRef/>
      </w:r>
      <w:r>
        <w:t xml:space="preserve"> United Nations (2019) – Committee on the Rights of the Child: General comment No. 24 (2019) on children’s rights in the child justice system</w:t>
      </w:r>
      <w:r w:rsidRPr="007A2ACB">
        <w:rPr>
          <w:rFonts w:ascii="Calibri" w:hAnsi="Calibri" w:cs="Calibri"/>
        </w:rPr>
        <w:t xml:space="preserve"> -</w:t>
      </w:r>
      <w:r>
        <w:rPr>
          <w:rFonts w:ascii="Calibri" w:hAnsi="Calibri" w:cs="Calibri"/>
        </w:rPr>
        <w:t xml:space="preserve"> CRC</w:t>
      </w:r>
      <w:r w:rsidRPr="007A2ACB">
        <w:rPr>
          <w:rFonts w:ascii="Calibri" w:hAnsi="Calibri" w:cs="Calibri"/>
        </w:rPr>
        <w:t>/C/GC/24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7C4AB" w14:textId="77777777" w:rsidR="001B29D1" w:rsidRPr="005B1CC6" w:rsidRDefault="001B29D1" w:rsidP="001B29D1">
    <w:pPr>
      <w:spacing w:after="0" w:line="360" w:lineRule="auto"/>
      <w:jc w:val="right"/>
      <w:rPr>
        <w:rFonts w:ascii="Arial" w:hAnsi="Arial" w:cs="Arial"/>
        <w:b/>
        <w:sz w:val="24"/>
        <w:szCs w:val="24"/>
      </w:rPr>
    </w:pPr>
    <w:r w:rsidRPr="005B1CC6">
      <w:rPr>
        <w:rFonts w:ascii="Arial" w:hAnsi="Arial" w:cs="Arial"/>
        <w:b/>
        <w:sz w:val="24"/>
        <w:szCs w:val="24"/>
      </w:rPr>
      <w:t>Annex A</w:t>
    </w:r>
  </w:p>
  <w:p w14:paraId="3BB926AE" w14:textId="77777777" w:rsidR="001B29D1" w:rsidRDefault="001B2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03440" w14:textId="2E8BFF30" w:rsidR="00466E02" w:rsidRPr="0002522A" w:rsidRDefault="00466E02" w:rsidP="00025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1DC"/>
    <w:multiLevelType w:val="hybridMultilevel"/>
    <w:tmpl w:val="4F0E3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AD55B1"/>
    <w:multiLevelType w:val="hybridMultilevel"/>
    <w:tmpl w:val="41E2E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A43C4"/>
    <w:multiLevelType w:val="hybridMultilevel"/>
    <w:tmpl w:val="F3E680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A022A3"/>
    <w:multiLevelType w:val="hybridMultilevel"/>
    <w:tmpl w:val="6B343E74"/>
    <w:lvl w:ilvl="0" w:tplc="2398F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C70FFC"/>
    <w:multiLevelType w:val="hybridMultilevel"/>
    <w:tmpl w:val="1250E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9047E3"/>
    <w:multiLevelType w:val="hybridMultilevel"/>
    <w:tmpl w:val="EA5A2CE0"/>
    <w:lvl w:ilvl="0" w:tplc="08090001">
      <w:start w:val="1"/>
      <w:numFmt w:val="bullet"/>
      <w:lvlText w:val=""/>
      <w:lvlJc w:val="left"/>
      <w:pPr>
        <w:ind w:left="1080" w:hanging="360"/>
      </w:pPr>
      <w:rPr>
        <w:rFonts w:ascii="Symbol" w:hAnsi="Symbol" w:hint="default"/>
      </w:rPr>
    </w:lvl>
    <w:lvl w:ilvl="1" w:tplc="0D0CF7AA">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7515B4"/>
    <w:multiLevelType w:val="hybridMultilevel"/>
    <w:tmpl w:val="9DBE3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DD5C9C"/>
    <w:multiLevelType w:val="hybridMultilevel"/>
    <w:tmpl w:val="87229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0"/>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220"/>
    <w:rsid w:val="0002522A"/>
    <w:rsid w:val="000313EA"/>
    <w:rsid w:val="0004693F"/>
    <w:rsid w:val="0005204D"/>
    <w:rsid w:val="000A0285"/>
    <w:rsid w:val="000B757D"/>
    <w:rsid w:val="000F32FD"/>
    <w:rsid w:val="001014C7"/>
    <w:rsid w:val="0010734A"/>
    <w:rsid w:val="00112A82"/>
    <w:rsid w:val="00114CD3"/>
    <w:rsid w:val="001701D8"/>
    <w:rsid w:val="001757AF"/>
    <w:rsid w:val="00184F82"/>
    <w:rsid w:val="001B29D1"/>
    <w:rsid w:val="001B7299"/>
    <w:rsid w:val="001C4FB4"/>
    <w:rsid w:val="001E45A3"/>
    <w:rsid w:val="00202103"/>
    <w:rsid w:val="002166BB"/>
    <w:rsid w:val="00220C32"/>
    <w:rsid w:val="00225713"/>
    <w:rsid w:val="00253BFC"/>
    <w:rsid w:val="00274829"/>
    <w:rsid w:val="00293C60"/>
    <w:rsid w:val="002B5621"/>
    <w:rsid w:val="002F60FA"/>
    <w:rsid w:val="00321210"/>
    <w:rsid w:val="003218E8"/>
    <w:rsid w:val="003358A1"/>
    <w:rsid w:val="00344134"/>
    <w:rsid w:val="003446C8"/>
    <w:rsid w:val="003769AB"/>
    <w:rsid w:val="00390A56"/>
    <w:rsid w:val="003A6B76"/>
    <w:rsid w:val="003B77A4"/>
    <w:rsid w:val="003E022A"/>
    <w:rsid w:val="003F0996"/>
    <w:rsid w:val="00407A11"/>
    <w:rsid w:val="00433D5D"/>
    <w:rsid w:val="0044269C"/>
    <w:rsid w:val="00460845"/>
    <w:rsid w:val="00466E02"/>
    <w:rsid w:val="0048482F"/>
    <w:rsid w:val="004A3526"/>
    <w:rsid w:val="004A38A7"/>
    <w:rsid w:val="004D5773"/>
    <w:rsid w:val="005024F6"/>
    <w:rsid w:val="0052294F"/>
    <w:rsid w:val="00527E17"/>
    <w:rsid w:val="0054375E"/>
    <w:rsid w:val="00595FFD"/>
    <w:rsid w:val="005B1CC6"/>
    <w:rsid w:val="005C67E1"/>
    <w:rsid w:val="005D7819"/>
    <w:rsid w:val="005E0341"/>
    <w:rsid w:val="005F28AB"/>
    <w:rsid w:val="00610007"/>
    <w:rsid w:val="00631905"/>
    <w:rsid w:val="00636112"/>
    <w:rsid w:val="00642FFD"/>
    <w:rsid w:val="006450A6"/>
    <w:rsid w:val="00665B2C"/>
    <w:rsid w:val="006967E2"/>
    <w:rsid w:val="006A5E82"/>
    <w:rsid w:val="006E1A22"/>
    <w:rsid w:val="00736002"/>
    <w:rsid w:val="00752BC9"/>
    <w:rsid w:val="00784816"/>
    <w:rsid w:val="00790106"/>
    <w:rsid w:val="00790286"/>
    <w:rsid w:val="007A2ACB"/>
    <w:rsid w:val="007B49F9"/>
    <w:rsid w:val="007B6460"/>
    <w:rsid w:val="007B6D9D"/>
    <w:rsid w:val="007C410D"/>
    <w:rsid w:val="007E06C7"/>
    <w:rsid w:val="00832FD2"/>
    <w:rsid w:val="00835220"/>
    <w:rsid w:val="0087001F"/>
    <w:rsid w:val="00874553"/>
    <w:rsid w:val="008A2C58"/>
    <w:rsid w:val="008F0EBB"/>
    <w:rsid w:val="008F282D"/>
    <w:rsid w:val="0090589E"/>
    <w:rsid w:val="00927300"/>
    <w:rsid w:val="0095179B"/>
    <w:rsid w:val="0097481C"/>
    <w:rsid w:val="009954E4"/>
    <w:rsid w:val="00995FEA"/>
    <w:rsid w:val="009B40CA"/>
    <w:rsid w:val="009B4104"/>
    <w:rsid w:val="009D54A8"/>
    <w:rsid w:val="009E3DA0"/>
    <w:rsid w:val="009E5717"/>
    <w:rsid w:val="00A02B6E"/>
    <w:rsid w:val="00A515D8"/>
    <w:rsid w:val="00A660EF"/>
    <w:rsid w:val="00A91143"/>
    <w:rsid w:val="00A97CD2"/>
    <w:rsid w:val="00AB1E80"/>
    <w:rsid w:val="00AC629E"/>
    <w:rsid w:val="00AD0605"/>
    <w:rsid w:val="00AE388B"/>
    <w:rsid w:val="00AE4FFA"/>
    <w:rsid w:val="00AF7356"/>
    <w:rsid w:val="00B153FE"/>
    <w:rsid w:val="00B15F59"/>
    <w:rsid w:val="00B27F15"/>
    <w:rsid w:val="00B45517"/>
    <w:rsid w:val="00B54C98"/>
    <w:rsid w:val="00B77704"/>
    <w:rsid w:val="00B8276A"/>
    <w:rsid w:val="00BA2853"/>
    <w:rsid w:val="00BA4C6B"/>
    <w:rsid w:val="00BB56C0"/>
    <w:rsid w:val="00BF43AE"/>
    <w:rsid w:val="00C016C6"/>
    <w:rsid w:val="00C41CBD"/>
    <w:rsid w:val="00CF35B1"/>
    <w:rsid w:val="00D21515"/>
    <w:rsid w:val="00D40D99"/>
    <w:rsid w:val="00D43C4C"/>
    <w:rsid w:val="00D55F2F"/>
    <w:rsid w:val="00DB70E9"/>
    <w:rsid w:val="00DC2352"/>
    <w:rsid w:val="00DD2E6E"/>
    <w:rsid w:val="00DE57F2"/>
    <w:rsid w:val="00EA03FA"/>
    <w:rsid w:val="00EA646C"/>
    <w:rsid w:val="00F52D23"/>
    <w:rsid w:val="00F64CB6"/>
    <w:rsid w:val="00F6762B"/>
    <w:rsid w:val="00F713C8"/>
    <w:rsid w:val="00FB0A48"/>
    <w:rsid w:val="00FB0E89"/>
    <w:rsid w:val="00FB0F84"/>
    <w:rsid w:val="00FD1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08CFD5"/>
  <w15:chartTrackingRefBased/>
  <w15:docId w15:val="{5619F1D6-2985-4268-8DDB-B7407935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2,OBC Bullet,List Paragraph11,List Paragraph12,F5 List Paragraph,Colorful List - Accent 11,Bullet 1,L"/>
    <w:basedOn w:val="Normal"/>
    <w:link w:val="ListParagraphChar"/>
    <w:uiPriority w:val="34"/>
    <w:qFormat/>
    <w:rsid w:val="00835220"/>
    <w:pPr>
      <w:ind w:left="720"/>
      <w:contextualSpacing/>
    </w:pPr>
  </w:style>
  <w:style w:type="paragraph" w:styleId="FootnoteText">
    <w:name w:val="footnote text"/>
    <w:basedOn w:val="Normal"/>
    <w:link w:val="FootnoteTextChar"/>
    <w:uiPriority w:val="99"/>
    <w:semiHidden/>
    <w:unhideWhenUsed/>
    <w:rsid w:val="00832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FD2"/>
    <w:rPr>
      <w:sz w:val="20"/>
      <w:szCs w:val="20"/>
    </w:rPr>
  </w:style>
  <w:style w:type="character" w:styleId="FootnoteReference">
    <w:name w:val="footnote reference"/>
    <w:basedOn w:val="DefaultParagraphFont"/>
    <w:uiPriority w:val="99"/>
    <w:semiHidden/>
    <w:unhideWhenUsed/>
    <w:rsid w:val="00832FD2"/>
    <w:rPr>
      <w:vertAlign w:val="superscript"/>
    </w:rPr>
  </w:style>
  <w:style w:type="character" w:styleId="CommentReference">
    <w:name w:val="annotation reference"/>
    <w:basedOn w:val="DefaultParagraphFont"/>
    <w:uiPriority w:val="99"/>
    <w:semiHidden/>
    <w:unhideWhenUsed/>
    <w:rsid w:val="00DB70E9"/>
    <w:rPr>
      <w:sz w:val="16"/>
      <w:szCs w:val="16"/>
    </w:rPr>
  </w:style>
  <w:style w:type="paragraph" w:styleId="CommentText">
    <w:name w:val="annotation text"/>
    <w:basedOn w:val="Normal"/>
    <w:link w:val="CommentTextChar"/>
    <w:uiPriority w:val="99"/>
    <w:semiHidden/>
    <w:unhideWhenUsed/>
    <w:rsid w:val="00DB70E9"/>
    <w:pPr>
      <w:spacing w:line="240" w:lineRule="auto"/>
    </w:pPr>
    <w:rPr>
      <w:sz w:val="20"/>
      <w:szCs w:val="20"/>
    </w:rPr>
  </w:style>
  <w:style w:type="character" w:customStyle="1" w:styleId="CommentTextChar">
    <w:name w:val="Comment Text Char"/>
    <w:basedOn w:val="DefaultParagraphFont"/>
    <w:link w:val="CommentText"/>
    <w:uiPriority w:val="99"/>
    <w:semiHidden/>
    <w:rsid w:val="00DB70E9"/>
    <w:rPr>
      <w:sz w:val="20"/>
      <w:szCs w:val="20"/>
    </w:rPr>
  </w:style>
  <w:style w:type="paragraph" w:styleId="CommentSubject">
    <w:name w:val="annotation subject"/>
    <w:basedOn w:val="CommentText"/>
    <w:next w:val="CommentText"/>
    <w:link w:val="CommentSubjectChar"/>
    <w:uiPriority w:val="99"/>
    <w:semiHidden/>
    <w:unhideWhenUsed/>
    <w:rsid w:val="00DB70E9"/>
    <w:rPr>
      <w:b/>
      <w:bCs/>
    </w:rPr>
  </w:style>
  <w:style w:type="character" w:customStyle="1" w:styleId="CommentSubjectChar">
    <w:name w:val="Comment Subject Char"/>
    <w:basedOn w:val="CommentTextChar"/>
    <w:link w:val="CommentSubject"/>
    <w:uiPriority w:val="99"/>
    <w:semiHidden/>
    <w:rsid w:val="00DB70E9"/>
    <w:rPr>
      <w:b/>
      <w:bCs/>
      <w:sz w:val="20"/>
      <w:szCs w:val="20"/>
    </w:rPr>
  </w:style>
  <w:style w:type="paragraph" w:styleId="BalloonText">
    <w:name w:val="Balloon Text"/>
    <w:basedOn w:val="Normal"/>
    <w:link w:val="BalloonTextChar"/>
    <w:uiPriority w:val="99"/>
    <w:semiHidden/>
    <w:unhideWhenUsed/>
    <w:rsid w:val="00DB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E9"/>
    <w:rPr>
      <w:rFonts w:ascii="Segoe UI" w:hAnsi="Segoe UI" w:cs="Segoe UI"/>
      <w:sz w:val="18"/>
      <w:szCs w:val="18"/>
    </w:rPr>
  </w:style>
  <w:style w:type="paragraph" w:styleId="NormalWeb">
    <w:name w:val="Normal (Web)"/>
    <w:basedOn w:val="Normal"/>
    <w:uiPriority w:val="99"/>
    <w:unhideWhenUsed/>
    <w:rsid w:val="00F52D2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9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1894"/>
    <w:rPr>
      <w:color w:val="0563C1" w:themeColor="hyperlink"/>
      <w:u w:val="single"/>
    </w:rPr>
  </w:style>
  <w:style w:type="character" w:styleId="FollowedHyperlink">
    <w:name w:val="FollowedHyperlink"/>
    <w:basedOn w:val="DefaultParagraphFont"/>
    <w:uiPriority w:val="99"/>
    <w:semiHidden/>
    <w:unhideWhenUsed/>
    <w:rsid w:val="00FD1894"/>
    <w:rPr>
      <w:color w:val="954F72" w:themeColor="followedHyperlink"/>
      <w:u w:val="single"/>
    </w:rPr>
  </w:style>
  <w:style w:type="paragraph" w:customStyle="1" w:styleId="Default">
    <w:name w:val="Default"/>
    <w:rsid w:val="009B40CA"/>
    <w:pPr>
      <w:autoSpaceDE w:val="0"/>
      <w:autoSpaceDN w:val="0"/>
      <w:adjustRightInd w:val="0"/>
      <w:spacing w:after="0" w:line="240" w:lineRule="auto"/>
    </w:pPr>
    <w:rPr>
      <w:rFonts w:ascii="IHNNIX+Perpetua-Bold" w:hAnsi="IHNNIX+Perpetua-Bold" w:cs="IHNNIX+Perpetua-Bold"/>
      <w:color w:val="000000"/>
      <w:sz w:val="24"/>
      <w:szCs w:val="24"/>
    </w:rPr>
  </w:style>
  <w:style w:type="paragraph" w:customStyle="1" w:styleId="CM14">
    <w:name w:val="CM14"/>
    <w:basedOn w:val="Default"/>
    <w:next w:val="Default"/>
    <w:uiPriority w:val="99"/>
    <w:rsid w:val="007B6D9D"/>
    <w:rPr>
      <w:rFonts w:ascii="AGFIE L+ Adv O T 0e 40dc 65" w:hAnsi="AGFIE L+ Adv O T 0e 40dc 65" w:cstheme="minorBidi"/>
      <w:color w:val="auto"/>
    </w:rPr>
  </w:style>
  <w:style w:type="table" w:styleId="GridTable1Light-Accent1">
    <w:name w:val="Grid Table 1 Light Accent 1"/>
    <w:basedOn w:val="TableNormal"/>
    <w:uiPriority w:val="46"/>
    <w:rsid w:val="007B49F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B49F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B49F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B49F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B49F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B49F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1B2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9D1"/>
  </w:style>
  <w:style w:type="paragraph" w:styleId="Footer">
    <w:name w:val="footer"/>
    <w:basedOn w:val="Normal"/>
    <w:link w:val="FooterChar"/>
    <w:uiPriority w:val="99"/>
    <w:unhideWhenUsed/>
    <w:rsid w:val="001B2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9D1"/>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2 Char,OBC Bullet Char,List Paragraph11 Char,L Char"/>
    <w:basedOn w:val="DefaultParagraphFont"/>
    <w:link w:val="ListParagraph"/>
    <w:uiPriority w:val="34"/>
    <w:qFormat/>
    <w:locked/>
    <w:rsid w:val="0046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134955">
      <w:bodyDiv w:val="1"/>
      <w:marLeft w:val="0"/>
      <w:marRight w:val="0"/>
      <w:marTop w:val="0"/>
      <w:marBottom w:val="0"/>
      <w:divBdr>
        <w:top w:val="none" w:sz="0" w:space="0" w:color="auto"/>
        <w:left w:val="none" w:sz="0" w:space="0" w:color="auto"/>
        <w:bottom w:val="none" w:sz="0" w:space="0" w:color="auto"/>
        <w:right w:val="none" w:sz="0" w:space="0" w:color="auto"/>
      </w:divBdr>
    </w:div>
    <w:div w:id="199198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e.crin.org/en/home/ages/europ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FD770-F774-473A-8BCA-991798D4D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3544</Words>
  <Characters>18168</Characters>
  <Application>Microsoft Office Word</Application>
  <DocSecurity>4</DocSecurity>
  <Lines>486</Lines>
  <Paragraphs>171</Paragraphs>
  <ScaleCrop>false</ScaleCrop>
  <HeadingPairs>
    <vt:vector size="2" baseType="variant">
      <vt:variant>
        <vt:lpstr>Title</vt:lpstr>
      </vt:variant>
      <vt:variant>
        <vt:i4>1</vt:i4>
      </vt:variant>
    </vt:vector>
  </HeadingPairs>
  <TitlesOfParts>
    <vt:vector size="1" baseType="lpstr">
      <vt:lpstr>Minimum Age Criminal Responsibility MACR Consultation</vt:lpstr>
    </vt:vector>
  </TitlesOfParts>
  <Company>ITAC</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Age Criminal Responsibility MACR Consultation</dc:title>
  <dc:subject>Minimum Age Criminal Responsibility MACR Consultation</dc:subject>
  <dc:creator>Reducing Offending</dc:creator>
  <cp:keywords>Minimum Age Criminal Responsibility MACR Consultation</cp:keywords>
  <dc:description/>
  <cp:lastModifiedBy>Lisa Higgins</cp:lastModifiedBy>
  <cp:revision>2</cp:revision>
  <cp:lastPrinted>2022-09-30T07:28:00Z</cp:lastPrinted>
  <dcterms:created xsi:type="dcterms:W3CDTF">2022-10-12T08:54:00Z</dcterms:created>
  <dcterms:modified xsi:type="dcterms:W3CDTF">2022-10-12T08:54:00Z</dcterms:modified>
  <cp:category>Minimum Age Criminal Responsibility MACR Consultation</cp:category>
</cp:coreProperties>
</file>