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8E63C6" w14:textId="3D4529A0" w:rsidR="0019222A" w:rsidRDefault="0019222A" w:rsidP="0023755C">
      <w:pPr>
        <w:pStyle w:val="Heading1"/>
        <w:ind w:right="15"/>
        <w:jc w:val="center"/>
        <w:rPr>
          <w:rFonts w:cs="Arial"/>
          <w:b/>
          <w:bCs/>
          <w:color w:val="000000" w:themeColor="text1"/>
        </w:rPr>
      </w:pPr>
      <w:r w:rsidRPr="004B5BC8">
        <w:rPr>
          <w:rFonts w:eastAsia="Times New Roman" w:cs="Arial"/>
          <w:noProof/>
          <w:color w:val="7170A6"/>
          <w:sz w:val="2"/>
          <w:szCs w:val="2"/>
          <w:lang w:eastAsia="en-GB"/>
        </w:rPr>
        <w:drawing>
          <wp:inline distT="0" distB="0" distL="0" distR="0" wp14:anchorId="59FAE100" wp14:editId="231CEF71">
            <wp:extent cx="3267075" cy="801370"/>
            <wp:effectExtent l="0" t="0" r="0" b="0"/>
            <wp:docPr id="1" name="Picture 1" descr="Department for the Economy">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the Economy">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075" cy="801370"/>
                    </a:xfrm>
                    <a:prstGeom prst="rect">
                      <a:avLst/>
                    </a:prstGeom>
                    <a:noFill/>
                    <a:ln>
                      <a:noFill/>
                    </a:ln>
                  </pic:spPr>
                </pic:pic>
              </a:graphicData>
            </a:graphic>
          </wp:inline>
        </w:drawing>
      </w:r>
    </w:p>
    <w:p w14:paraId="7FC38129" w14:textId="77777777" w:rsidR="00A35F76" w:rsidRPr="00A35F76" w:rsidRDefault="00A35F76" w:rsidP="00A35F76"/>
    <w:p w14:paraId="3C8E36A3" w14:textId="172134E1" w:rsidR="00E91D60" w:rsidRDefault="0019222A" w:rsidP="005006CF">
      <w:pPr>
        <w:pStyle w:val="Heading1"/>
        <w:jc w:val="center"/>
      </w:pPr>
      <w:r w:rsidRPr="00A35F76">
        <w:t xml:space="preserve">Equality </w:t>
      </w:r>
      <w:r w:rsidR="00E91D60" w:rsidRPr="00A35F76">
        <w:t xml:space="preserve">Screening </w:t>
      </w:r>
      <w:r w:rsidR="005A105D" w:rsidRPr="00A35F76">
        <w:t>T</w:t>
      </w:r>
      <w:r w:rsidR="00E91D60" w:rsidRPr="00A35F76">
        <w:t>emplate</w:t>
      </w:r>
      <w:r w:rsidR="008D5B66" w:rsidRPr="00A35F76">
        <w:t xml:space="preserve"> – Section 75 of Northern Ireland Act 1998</w:t>
      </w:r>
    </w:p>
    <w:p w14:paraId="1E9E1B59" w14:textId="77777777" w:rsidR="00A35F76" w:rsidRDefault="00A35F76" w:rsidP="00A35F76"/>
    <w:p w14:paraId="0E15B052" w14:textId="78F828E8" w:rsidR="004E5A10" w:rsidRPr="00705E20" w:rsidRDefault="004E5A10" w:rsidP="004E5A10">
      <w:pPr>
        <w:rPr>
          <w:rFonts w:cs="Arial"/>
          <w:b/>
          <w:bCs/>
          <w:sz w:val="28"/>
          <w:szCs w:val="28"/>
        </w:rPr>
      </w:pPr>
      <w:r>
        <w:rPr>
          <w:rFonts w:cs="Arial"/>
          <w:b/>
          <w:bCs/>
          <w:sz w:val="28"/>
          <w:szCs w:val="28"/>
        </w:rPr>
        <w:t>Policy title:</w:t>
      </w:r>
      <w:r w:rsidR="003A73AD">
        <w:rPr>
          <w:rFonts w:cs="Arial"/>
          <w:b/>
          <w:bCs/>
          <w:sz w:val="28"/>
          <w:szCs w:val="28"/>
        </w:rPr>
        <w:t xml:space="preserve"> </w:t>
      </w:r>
      <w:r w:rsidR="00796BCA">
        <w:rPr>
          <w:rFonts w:cs="Arial"/>
          <w:b/>
          <w:bCs/>
          <w:sz w:val="28"/>
          <w:szCs w:val="28"/>
          <w:lang w:val="en-US"/>
        </w:rPr>
        <w:t>P</w:t>
      </w:r>
      <w:r w:rsidR="00796BCA" w:rsidRPr="00796BCA">
        <w:rPr>
          <w:rFonts w:cs="Arial"/>
          <w:b/>
          <w:bCs/>
          <w:sz w:val="28"/>
          <w:szCs w:val="28"/>
          <w:lang w:val="en-US"/>
        </w:rPr>
        <w:t>roposal for primary legislation to resolve issues in regard to the Department’s financial powers</w:t>
      </w:r>
      <w:r w:rsidR="00796BCA">
        <w:rPr>
          <w:rFonts w:cs="Arial"/>
          <w:b/>
          <w:bCs/>
          <w:sz w:val="28"/>
          <w:szCs w:val="28"/>
        </w:rPr>
        <w:t xml:space="preserve"> </w:t>
      </w:r>
    </w:p>
    <w:p w14:paraId="7119E219" w14:textId="77777777" w:rsidR="00705E20" w:rsidRDefault="00705E20" w:rsidP="00E91D60">
      <w:pPr>
        <w:ind w:left="360"/>
        <w:rPr>
          <w:rFonts w:cs="Arial"/>
          <w:b/>
          <w:bCs/>
          <w:color w:val="4472C4" w:themeColor="accent1"/>
          <w:sz w:val="28"/>
          <w:szCs w:val="28"/>
        </w:rPr>
      </w:pPr>
    </w:p>
    <w:p w14:paraId="221E6F20" w14:textId="187E5EFD" w:rsidR="004E5A10" w:rsidRDefault="004E5A10" w:rsidP="0023755C">
      <w:pPr>
        <w:rPr>
          <w:rFonts w:cs="Arial"/>
          <w:b/>
          <w:bCs/>
          <w:sz w:val="28"/>
          <w:szCs w:val="28"/>
        </w:rPr>
      </w:pPr>
      <w:r w:rsidRPr="004E5A10">
        <w:rPr>
          <w:rFonts w:cs="Arial"/>
          <w:b/>
          <w:bCs/>
          <w:sz w:val="28"/>
          <w:szCs w:val="28"/>
        </w:rPr>
        <w:t>Decision</w:t>
      </w:r>
      <w:r w:rsidR="00721F8A">
        <w:rPr>
          <w:rFonts w:cs="Arial"/>
          <w:b/>
          <w:bCs/>
          <w:sz w:val="28"/>
          <w:szCs w:val="28"/>
        </w:rPr>
        <w:t xml:space="preserve">: </w:t>
      </w:r>
      <w:r w:rsidRPr="00721F8A">
        <w:rPr>
          <w:rFonts w:cs="Arial"/>
          <w:sz w:val="28"/>
          <w:szCs w:val="28"/>
        </w:rPr>
        <w:t xml:space="preserve">Policy screened out </w:t>
      </w:r>
      <w:r w:rsidRPr="00721F8A">
        <w:rPr>
          <w:rFonts w:cs="Arial"/>
          <w:b/>
          <w:sz w:val="28"/>
          <w:szCs w:val="28"/>
        </w:rPr>
        <w:t xml:space="preserve">without </w:t>
      </w:r>
      <w:r w:rsidRPr="00721F8A">
        <w:rPr>
          <w:rFonts w:cs="Arial"/>
          <w:sz w:val="28"/>
          <w:szCs w:val="28"/>
        </w:rPr>
        <w:t xml:space="preserve">mitigation or an alternative policy </w:t>
      </w:r>
      <w:r w:rsidR="00721F8A" w:rsidRPr="00721F8A">
        <w:rPr>
          <w:rFonts w:cs="Arial"/>
          <w:sz w:val="28"/>
          <w:szCs w:val="28"/>
        </w:rPr>
        <w:t>adopted.</w:t>
      </w:r>
      <w:r w:rsidRPr="0023755C">
        <w:rPr>
          <w:rFonts w:cs="Arial"/>
          <w:b/>
          <w:bCs/>
          <w:sz w:val="28"/>
          <w:szCs w:val="28"/>
        </w:rPr>
        <w:t xml:space="preserve"> </w:t>
      </w:r>
    </w:p>
    <w:p w14:paraId="5F5D18C0" w14:textId="77777777" w:rsidR="0023755C" w:rsidRPr="0023755C" w:rsidRDefault="0023755C" w:rsidP="0023755C">
      <w:pPr>
        <w:rPr>
          <w:rFonts w:cs="Arial"/>
          <w:b/>
          <w:bCs/>
          <w:sz w:val="28"/>
          <w:szCs w:val="28"/>
        </w:rPr>
      </w:pPr>
    </w:p>
    <w:p w14:paraId="0499EC1B" w14:textId="6112E6F4" w:rsidR="00705E20" w:rsidRPr="00F516F9" w:rsidRDefault="004E5A10" w:rsidP="004E5A10">
      <w:pPr>
        <w:rPr>
          <w:rFonts w:cs="Arial"/>
          <w:sz w:val="28"/>
          <w:szCs w:val="28"/>
        </w:rPr>
      </w:pPr>
      <w:r w:rsidRPr="004E5A10">
        <w:rPr>
          <w:rFonts w:cs="Arial"/>
          <w:b/>
          <w:bCs/>
          <w:sz w:val="28"/>
          <w:szCs w:val="28"/>
        </w:rPr>
        <w:t>Contact</w:t>
      </w:r>
      <w:r w:rsidR="00E46589">
        <w:rPr>
          <w:rFonts w:cs="Arial"/>
          <w:b/>
          <w:bCs/>
          <w:sz w:val="28"/>
          <w:szCs w:val="28"/>
        </w:rPr>
        <w:t>:</w:t>
      </w:r>
      <w:r w:rsidR="0081796F">
        <w:rPr>
          <w:rFonts w:cs="Arial"/>
          <w:b/>
          <w:bCs/>
          <w:sz w:val="28"/>
          <w:szCs w:val="28"/>
        </w:rPr>
        <w:t xml:space="preserve"> </w:t>
      </w:r>
      <w:r w:rsidR="0081796F" w:rsidRPr="00F516F9">
        <w:rPr>
          <w:rFonts w:cs="Arial"/>
          <w:sz w:val="28"/>
          <w:szCs w:val="28"/>
        </w:rPr>
        <w:t xml:space="preserve">Heidi-Beth Hudson </w:t>
      </w:r>
    </w:p>
    <w:p w14:paraId="2003743E" w14:textId="77777777" w:rsidR="00705E20" w:rsidRDefault="00705E20" w:rsidP="00E91D60">
      <w:pPr>
        <w:ind w:left="360"/>
        <w:rPr>
          <w:rFonts w:cs="Arial"/>
          <w:b/>
          <w:bCs/>
          <w:color w:val="4472C4" w:themeColor="accent1"/>
          <w:sz w:val="28"/>
          <w:szCs w:val="28"/>
        </w:rPr>
      </w:pPr>
    </w:p>
    <w:p w14:paraId="3F8F3D59" w14:textId="6B2AF87A" w:rsidR="00705E20" w:rsidRPr="004E5A10" w:rsidRDefault="004E5A10" w:rsidP="004E5A10">
      <w:pPr>
        <w:rPr>
          <w:rFonts w:cs="Arial"/>
          <w:b/>
          <w:bCs/>
          <w:sz w:val="28"/>
          <w:szCs w:val="28"/>
        </w:rPr>
      </w:pPr>
      <w:r w:rsidRPr="004E5A10">
        <w:rPr>
          <w:rFonts w:cs="Arial"/>
          <w:b/>
          <w:bCs/>
          <w:sz w:val="28"/>
          <w:szCs w:val="28"/>
        </w:rPr>
        <w:t>Date of completion</w:t>
      </w:r>
      <w:r w:rsidR="00E46589">
        <w:rPr>
          <w:rFonts w:cs="Arial"/>
          <w:b/>
          <w:bCs/>
          <w:sz w:val="28"/>
          <w:szCs w:val="28"/>
        </w:rPr>
        <w:t>:</w:t>
      </w:r>
      <w:r w:rsidR="00721F8A">
        <w:rPr>
          <w:rFonts w:cs="Arial"/>
          <w:b/>
          <w:bCs/>
          <w:sz w:val="28"/>
          <w:szCs w:val="28"/>
        </w:rPr>
        <w:t xml:space="preserve"> </w:t>
      </w:r>
      <w:r w:rsidR="00BE6C0F">
        <w:rPr>
          <w:rFonts w:cs="Arial"/>
          <w:b/>
          <w:bCs/>
          <w:sz w:val="28"/>
          <w:szCs w:val="28"/>
        </w:rPr>
        <w:t>24/05/24</w:t>
      </w:r>
    </w:p>
    <w:p w14:paraId="01B538F8" w14:textId="77777777" w:rsidR="00705E20" w:rsidRDefault="00705E20" w:rsidP="00E91D60">
      <w:pPr>
        <w:ind w:left="360"/>
        <w:rPr>
          <w:rFonts w:cs="Arial"/>
          <w:b/>
          <w:bCs/>
          <w:color w:val="4472C4" w:themeColor="accent1"/>
          <w:sz w:val="28"/>
          <w:szCs w:val="28"/>
        </w:rPr>
      </w:pPr>
    </w:p>
    <w:p w14:paraId="20573FC3" w14:textId="77777777" w:rsidR="004E5A10" w:rsidRPr="00822FBC" w:rsidRDefault="004E5A10" w:rsidP="004E5A10">
      <w:pPr>
        <w:spacing w:after="120"/>
        <w:rPr>
          <w:rFonts w:cs="Arial"/>
          <w:b/>
          <w:sz w:val="28"/>
          <w:szCs w:val="28"/>
        </w:rPr>
      </w:pPr>
      <w:r w:rsidRPr="00822FBC">
        <w:rPr>
          <w:rFonts w:cs="Arial"/>
          <w:b/>
          <w:sz w:val="28"/>
          <w:szCs w:val="28"/>
        </w:rPr>
        <w:t>For Equality Unit Completion:</w:t>
      </w:r>
    </w:p>
    <w:p w14:paraId="4E35E220" w14:textId="77777777" w:rsidR="004E5A10" w:rsidRDefault="004E5A10" w:rsidP="004E5A10">
      <w:pPr>
        <w:rPr>
          <w:rFonts w:cs="Arial"/>
          <w:b/>
          <w:szCs w:val="24"/>
        </w:rPr>
      </w:pPr>
    </w:p>
    <w:p w14:paraId="0430BEA5" w14:textId="7625C1DA" w:rsidR="004E5A10" w:rsidRDefault="004E5A10" w:rsidP="004E5A10">
      <w:pPr>
        <w:rPr>
          <w:rFonts w:cs="Arial"/>
          <w:b/>
          <w:bCs/>
          <w:color w:val="4472C4" w:themeColor="accent1"/>
          <w:sz w:val="28"/>
          <w:szCs w:val="28"/>
        </w:rPr>
      </w:pPr>
      <w:r w:rsidRPr="00837F64">
        <w:rPr>
          <w:rFonts w:cs="Arial"/>
          <w:b/>
          <w:szCs w:val="24"/>
        </w:rPr>
        <w:t>Amendments requested?</w:t>
      </w:r>
      <w:r>
        <w:rPr>
          <w:rFonts w:cs="Arial"/>
          <w:b/>
          <w:szCs w:val="24"/>
        </w:rPr>
        <w:tab/>
      </w:r>
      <w:r>
        <w:rPr>
          <w:rFonts w:cs="Arial"/>
          <w:b/>
          <w:szCs w:val="24"/>
        </w:rPr>
        <w:tab/>
        <w:t>No</w:t>
      </w:r>
    </w:p>
    <w:p w14:paraId="5D0E6B53" w14:textId="77777777" w:rsidR="004E5A10" w:rsidRDefault="004E5A10" w:rsidP="00E91D60">
      <w:pPr>
        <w:ind w:left="360"/>
        <w:rPr>
          <w:rFonts w:cs="Arial"/>
          <w:b/>
          <w:bCs/>
          <w:color w:val="4472C4" w:themeColor="accent1"/>
          <w:sz w:val="28"/>
          <w:szCs w:val="28"/>
        </w:rPr>
      </w:pPr>
    </w:p>
    <w:p w14:paraId="0D382F83" w14:textId="14905551" w:rsidR="004E5A10" w:rsidRDefault="004E5A10" w:rsidP="004E5A10">
      <w:pPr>
        <w:rPr>
          <w:rFonts w:cs="Arial"/>
          <w:b/>
          <w:bCs/>
          <w:color w:val="4472C4" w:themeColor="accent1"/>
          <w:sz w:val="28"/>
          <w:szCs w:val="28"/>
        </w:rPr>
      </w:pPr>
      <w:r w:rsidRPr="00837F64">
        <w:rPr>
          <w:rFonts w:cs="Arial"/>
          <w:b/>
          <w:szCs w:val="24"/>
        </w:rPr>
        <w:t>Date returned to Business Area:</w:t>
      </w:r>
      <w:r w:rsidR="00A96589">
        <w:rPr>
          <w:rFonts w:cs="Arial"/>
          <w:b/>
          <w:szCs w:val="24"/>
        </w:rPr>
        <w:tab/>
        <w:t>29/05/24</w:t>
      </w:r>
    </w:p>
    <w:p w14:paraId="3F837EB2" w14:textId="77777777" w:rsidR="004E5A10" w:rsidRDefault="004E5A10" w:rsidP="00E91D60">
      <w:pPr>
        <w:ind w:left="360"/>
        <w:rPr>
          <w:rFonts w:cs="Arial"/>
          <w:b/>
          <w:bCs/>
          <w:color w:val="4472C4" w:themeColor="accent1"/>
          <w:sz w:val="28"/>
          <w:szCs w:val="28"/>
        </w:rPr>
      </w:pPr>
    </w:p>
    <w:p w14:paraId="3A682731" w14:textId="25F04230" w:rsidR="0023755C" w:rsidRDefault="004E5A10" w:rsidP="004E5A10">
      <w:pPr>
        <w:rPr>
          <w:rFonts w:cs="Arial"/>
          <w:b/>
          <w:szCs w:val="24"/>
        </w:rPr>
      </w:pPr>
      <w:r w:rsidRPr="00837F64">
        <w:rPr>
          <w:rFonts w:cs="Arial"/>
          <w:b/>
          <w:szCs w:val="24"/>
        </w:rPr>
        <w:t>Date final version received:</w:t>
      </w:r>
      <w:r w:rsidR="00D56AA4">
        <w:rPr>
          <w:rFonts w:cs="Arial"/>
          <w:b/>
          <w:szCs w:val="24"/>
        </w:rPr>
        <w:tab/>
      </w:r>
      <w:r w:rsidR="00D56AA4">
        <w:rPr>
          <w:rFonts w:cs="Arial"/>
          <w:b/>
          <w:szCs w:val="24"/>
        </w:rPr>
        <w:tab/>
        <w:t>29/05/24</w:t>
      </w:r>
    </w:p>
    <w:p w14:paraId="48B45226" w14:textId="77777777" w:rsidR="0023755C" w:rsidRDefault="0023755C" w:rsidP="004E5A10">
      <w:pPr>
        <w:rPr>
          <w:rFonts w:cs="Arial"/>
          <w:b/>
          <w:szCs w:val="24"/>
        </w:rPr>
      </w:pPr>
    </w:p>
    <w:p w14:paraId="17B074F3" w14:textId="77777777" w:rsidR="0023755C" w:rsidRDefault="0023755C" w:rsidP="004E5A10">
      <w:pPr>
        <w:rPr>
          <w:rFonts w:cs="Arial"/>
          <w:b/>
          <w:szCs w:val="24"/>
        </w:rPr>
      </w:pPr>
    </w:p>
    <w:p w14:paraId="3315292B" w14:textId="77777777" w:rsidR="005A105D" w:rsidRPr="00C27F67" w:rsidRDefault="005A105D" w:rsidP="00C27F67">
      <w:pPr>
        <w:pStyle w:val="Heading2"/>
        <w:rPr>
          <w:rFonts w:cs="Arial"/>
          <w:b/>
          <w:szCs w:val="28"/>
        </w:rPr>
      </w:pPr>
      <w:r w:rsidRPr="00C27F67">
        <w:rPr>
          <w:rFonts w:cs="Arial"/>
          <w:b/>
          <w:szCs w:val="28"/>
        </w:rPr>
        <w:t>Content</w:t>
      </w:r>
    </w:p>
    <w:p w14:paraId="4DD92D03" w14:textId="77777777" w:rsidR="005A105D" w:rsidRDefault="005A105D" w:rsidP="00E91D60">
      <w:pPr>
        <w:ind w:left="360"/>
        <w:rPr>
          <w:rFonts w:cs="Arial"/>
          <w:b/>
          <w:bCs/>
          <w:sz w:val="28"/>
          <w:szCs w:val="28"/>
        </w:rPr>
      </w:pPr>
    </w:p>
    <w:p w14:paraId="1FA0B67E"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7385B08D" w14:textId="77777777" w:rsidR="00E91D60" w:rsidRPr="00E95611" w:rsidRDefault="00E91D60" w:rsidP="00E91D60">
      <w:pPr>
        <w:ind w:left="360"/>
        <w:rPr>
          <w:rFonts w:cs="Arial"/>
          <w:b/>
          <w:bCs/>
          <w:sz w:val="28"/>
          <w:szCs w:val="28"/>
        </w:rPr>
      </w:pPr>
    </w:p>
    <w:p w14:paraId="5D976BE5" w14:textId="77777777" w:rsidR="00A35F76" w:rsidRDefault="00E91D60" w:rsidP="00A35F76">
      <w:pPr>
        <w:ind w:left="360"/>
        <w:rPr>
          <w:rFonts w:cs="Arial"/>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w:t>
      </w:r>
    </w:p>
    <w:p w14:paraId="39FDA636" w14:textId="1785BA4C" w:rsidR="00E91D60" w:rsidRPr="00E95611" w:rsidRDefault="00E91D60" w:rsidP="00A35F76">
      <w:pPr>
        <w:ind w:left="360"/>
        <w:rPr>
          <w:rFonts w:cs="Arial"/>
          <w:b/>
          <w:bCs/>
          <w:sz w:val="28"/>
          <w:szCs w:val="28"/>
        </w:rPr>
      </w:pPr>
    </w:p>
    <w:p w14:paraId="52DE345E" w14:textId="77777777" w:rsidR="00E91D60" w:rsidRPr="00721FEE" w:rsidRDefault="00E91D60" w:rsidP="00E91D60">
      <w:pPr>
        <w:ind w:left="360"/>
        <w:rPr>
          <w:rFonts w:cs="Arial"/>
          <w:b/>
          <w:bCs/>
          <w:sz w:val="28"/>
          <w:szCs w:val="28"/>
        </w:rPr>
      </w:pPr>
      <w:r>
        <w:rPr>
          <w:rFonts w:cs="Arial"/>
          <w:b/>
          <w:bCs/>
          <w:sz w:val="28"/>
          <w:szCs w:val="28"/>
        </w:rPr>
        <w:lastRenderedPageBreak/>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318BD051" w14:textId="77777777" w:rsidR="00E91D60" w:rsidRPr="00E95611" w:rsidRDefault="00E91D60" w:rsidP="00E91D60">
      <w:pPr>
        <w:rPr>
          <w:rFonts w:cs="Arial"/>
          <w:b/>
          <w:bCs/>
          <w:sz w:val="28"/>
          <w:szCs w:val="28"/>
        </w:rPr>
      </w:pPr>
    </w:p>
    <w:p w14:paraId="5BC388EB" w14:textId="7898A348" w:rsidR="00A35F76" w:rsidRDefault="00E91D60" w:rsidP="00A35F76">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55402A5C" w14:textId="77777777" w:rsidR="00E17E34" w:rsidRDefault="00E17E34" w:rsidP="00A35F76">
      <w:pPr>
        <w:ind w:left="360" w:firstLine="15"/>
        <w:rPr>
          <w:rFonts w:cs="Arial"/>
          <w:sz w:val="28"/>
          <w:szCs w:val="28"/>
        </w:rPr>
      </w:pPr>
    </w:p>
    <w:p w14:paraId="7F71AD9A" w14:textId="73957AC2" w:rsidR="00E91D60" w:rsidRDefault="00E91D60" w:rsidP="00E17E34">
      <w:pPr>
        <w:ind w:left="360"/>
        <w:rPr>
          <w:rFonts w:cs="Arial"/>
          <w:sz w:val="28"/>
          <w:szCs w:val="28"/>
        </w:rPr>
      </w:pPr>
      <w:r>
        <w:rPr>
          <w:rFonts w:cs="Arial"/>
          <w:b/>
          <w:bCs/>
          <w:sz w:val="28"/>
          <w:szCs w:val="28"/>
        </w:rPr>
        <w:t>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71DF23E" w14:textId="77777777" w:rsidR="00E91D60" w:rsidRDefault="00E91D60" w:rsidP="005A105D">
      <w:pPr>
        <w:ind w:left="360" w:hanging="360"/>
      </w:pPr>
      <w:r>
        <w:rPr>
          <w:rFonts w:cs="Arial"/>
          <w:bCs/>
          <w:sz w:val="28"/>
          <w:szCs w:val="28"/>
        </w:rPr>
        <w:lastRenderedPageBreak/>
        <w:tab/>
      </w:r>
      <w:r w:rsidR="005A105D">
        <w:rPr>
          <w:rFonts w:cs="Arial"/>
          <w:bCs/>
          <w:sz w:val="28"/>
          <w:szCs w:val="28"/>
        </w:rPr>
        <w:t>Flowchart for the equality screening process and decision</w:t>
      </w:r>
      <w:r>
        <w:rPr>
          <w:rFonts w:cs="Arial"/>
          <w:bCs/>
          <w:sz w:val="28"/>
          <w:szCs w:val="28"/>
        </w:rPr>
        <w:t>.</w:t>
      </w:r>
      <w:r>
        <w:t xml:space="preserve"> </w:t>
      </w:r>
      <w:r w:rsidR="0058579E">
        <w:rPr>
          <w:noProof/>
          <w:lang w:eastAsia="en-GB"/>
        </w:rPr>
        <mc:AlternateContent>
          <mc:Choice Requires="wpc">
            <w:drawing>
              <wp:inline distT="0" distB="0" distL="0" distR="0" wp14:anchorId="16F70752" wp14:editId="1DE0893E">
                <wp:extent cx="5257800" cy="8230235"/>
                <wp:effectExtent l="1905" t="0" r="0" b="3175"/>
                <wp:docPr id="42" name="Canvas 4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710AB9E8" w14:textId="77777777" w:rsidR="00E91D60" w:rsidRDefault="00E91D60" w:rsidP="00E91D60">
                              <w:pPr>
                                <w:jc w:val="center"/>
                              </w:pPr>
                              <w:r>
                                <w:t>Policy Scoping</w:t>
                              </w:r>
                            </w:p>
                            <w:p w14:paraId="438AEB66" w14:textId="77777777" w:rsidR="00E91D60" w:rsidRDefault="00E91D60" w:rsidP="00E91D60">
                              <w:pPr>
                                <w:numPr>
                                  <w:ilvl w:val="1"/>
                                  <w:numId w:val="7"/>
                                </w:numPr>
                              </w:pPr>
                              <w:r>
                                <w:t>Policy</w:t>
                              </w:r>
                            </w:p>
                            <w:p w14:paraId="4375741B" w14:textId="77777777" w:rsidR="00E91D60" w:rsidRDefault="00E91D60"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2E3C7ECB" w14:textId="77777777" w:rsidR="00E91D60" w:rsidRDefault="00E91D60" w:rsidP="00E91D60">
                              <w:pPr>
                                <w:jc w:val="center"/>
                              </w:pPr>
                              <w:r>
                                <w:t>Screening Questions</w:t>
                              </w:r>
                            </w:p>
                            <w:p w14:paraId="61D907C3" w14:textId="77777777" w:rsidR="00E91D60" w:rsidRDefault="00E91D60" w:rsidP="00E91D60">
                              <w:pPr>
                                <w:numPr>
                                  <w:ilvl w:val="0"/>
                                  <w:numId w:val="8"/>
                                </w:numPr>
                              </w:pPr>
                              <w:r>
                                <w:t>Apply screening questions</w:t>
                              </w:r>
                            </w:p>
                            <w:p w14:paraId="5E0BB1C2" w14:textId="77777777" w:rsidR="00E91D60" w:rsidRDefault="00E91D60"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3CE5AB30"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16299A5"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A4F7840" w14:textId="77777777" w:rsidR="00C27F67" w:rsidRDefault="00C27F67" w:rsidP="00E91D60">
                              <w:r>
                                <w:t xml:space="preserve"> </w:t>
                              </w:r>
                              <w:r w:rsidR="00E91D60">
                                <w:t>Publish</w:t>
                              </w:r>
                            </w:p>
                            <w:p w14:paraId="76A2F410" w14:textId="55C52184" w:rsidR="00E91D60" w:rsidRDefault="00E91D60" w:rsidP="00E91D60">
                              <w:r>
                                <w:t>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38049708"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94D282A" w14:textId="77777777" w:rsidR="00E91D60" w:rsidRDefault="00E91D60" w:rsidP="00E91D60">
                              <w:r>
                                <w:t>Publish Template</w:t>
                              </w:r>
                            </w:p>
                            <w:p w14:paraId="700A781F"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463279E1"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0C644F1F" w14:textId="19A5ED22" w:rsidR="00E91D60" w:rsidRDefault="00E91D60" w:rsidP="00E17E34">
                              <w:pPr>
                                <w:jc w:val="center"/>
                              </w:pPr>
                              <w:r>
                                <w:t>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FD169DB"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8B61B" w14:textId="77777777" w:rsidR="00E91D60" w:rsidRPr="004D02B0" w:rsidRDefault="00E91D60" w:rsidP="00E91D60">
                              <w:pPr>
                                <w:rPr>
                                  <w:b/>
                                  <w:sz w:val="22"/>
                                  <w:szCs w:val="22"/>
                                </w:rPr>
                              </w:pPr>
                              <w:r w:rsidRPr="004D02B0">
                                <w:rPr>
                                  <w:b/>
                                  <w:sz w:val="22"/>
                                  <w:szCs w:val="22"/>
                                </w:rPr>
                                <w:t>‘None’</w:t>
                              </w:r>
                            </w:p>
                            <w:p w14:paraId="3F3F1495" w14:textId="77777777" w:rsidR="00E91D60" w:rsidRPr="00526D0F" w:rsidRDefault="00E91D60" w:rsidP="00E91D60">
                              <w:pPr>
                                <w:rPr>
                                  <w:sz w:val="22"/>
                                  <w:szCs w:val="22"/>
                                </w:rPr>
                              </w:pPr>
                              <w:r w:rsidRPr="00526D0F">
                                <w:rPr>
                                  <w:sz w:val="22"/>
                                  <w:szCs w:val="22"/>
                                </w:rPr>
                                <w:t>Screened out</w:t>
                              </w:r>
                            </w:p>
                            <w:p w14:paraId="72056BBF"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2CBBF"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4EFF147C"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D4207"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316B003A"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ADF59"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83858"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6F70752" id="Canvas 4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710AB9E8" w14:textId="77777777" w:rsidR="00E91D60" w:rsidRDefault="00E91D60" w:rsidP="00E91D60">
                        <w:pPr>
                          <w:jc w:val="center"/>
                        </w:pPr>
                        <w:r>
                          <w:t>Policy Scoping</w:t>
                        </w:r>
                      </w:p>
                      <w:p w14:paraId="438AEB66" w14:textId="77777777" w:rsidR="00E91D60" w:rsidRDefault="00E91D60" w:rsidP="00E91D60">
                        <w:pPr>
                          <w:numPr>
                            <w:ilvl w:val="1"/>
                            <w:numId w:val="7"/>
                          </w:numPr>
                        </w:pPr>
                        <w:r>
                          <w:t>Policy</w:t>
                        </w:r>
                      </w:p>
                      <w:p w14:paraId="4375741B" w14:textId="77777777" w:rsidR="00E91D60" w:rsidRDefault="00E91D6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E3C7ECB" w14:textId="77777777" w:rsidR="00E91D60" w:rsidRDefault="00E91D60" w:rsidP="00E91D60">
                        <w:pPr>
                          <w:jc w:val="center"/>
                        </w:pPr>
                        <w:r>
                          <w:t>Screening Questions</w:t>
                        </w:r>
                      </w:p>
                      <w:p w14:paraId="61D907C3" w14:textId="77777777" w:rsidR="00E91D60" w:rsidRDefault="00E91D60" w:rsidP="00E91D60">
                        <w:pPr>
                          <w:numPr>
                            <w:ilvl w:val="0"/>
                            <w:numId w:val="8"/>
                          </w:numPr>
                        </w:pPr>
                        <w:r>
                          <w:t>Apply screening questions</w:t>
                        </w:r>
                      </w:p>
                      <w:p w14:paraId="5E0BB1C2" w14:textId="77777777" w:rsidR="00E91D60" w:rsidRDefault="00E91D60"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CE5AB30" w14:textId="77777777"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16299A5"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A4F7840" w14:textId="77777777" w:rsidR="00C27F67" w:rsidRDefault="00C27F67" w:rsidP="00E91D60">
                        <w:r>
                          <w:t xml:space="preserve"> </w:t>
                        </w:r>
                        <w:r w:rsidR="00E91D60">
                          <w:t>Publish</w:t>
                        </w:r>
                      </w:p>
                      <w:p w14:paraId="76A2F410" w14:textId="55C52184" w:rsidR="00E91D60" w:rsidRDefault="00E91D60" w:rsidP="00E91D60">
                        <w:r>
                          <w:t>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8049708" w14:textId="77777777"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94D282A" w14:textId="77777777" w:rsidR="00E91D60" w:rsidRDefault="00E91D60" w:rsidP="00E91D60">
                        <w:r>
                          <w:t>Publish Template</w:t>
                        </w:r>
                      </w:p>
                      <w:p w14:paraId="700A781F"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463279E1"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0C644F1F" w14:textId="19A5ED22" w:rsidR="00E91D60" w:rsidRDefault="00E91D60" w:rsidP="00E17E34">
                        <w:pPr>
                          <w:jc w:val="center"/>
                        </w:pPr>
                        <w:r>
                          <w:t>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FD169DB"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E08B61B" w14:textId="77777777" w:rsidR="00E91D60" w:rsidRPr="004D02B0" w:rsidRDefault="00E91D60" w:rsidP="00E91D60">
                        <w:pPr>
                          <w:rPr>
                            <w:b/>
                            <w:sz w:val="22"/>
                            <w:szCs w:val="22"/>
                          </w:rPr>
                        </w:pPr>
                        <w:r w:rsidRPr="004D02B0">
                          <w:rPr>
                            <w:b/>
                            <w:sz w:val="22"/>
                            <w:szCs w:val="22"/>
                          </w:rPr>
                          <w:t>‘None’</w:t>
                        </w:r>
                      </w:p>
                      <w:p w14:paraId="3F3F1495" w14:textId="77777777" w:rsidR="00E91D60" w:rsidRPr="00526D0F" w:rsidRDefault="00E91D60" w:rsidP="00E91D60">
                        <w:pPr>
                          <w:rPr>
                            <w:sz w:val="22"/>
                            <w:szCs w:val="22"/>
                          </w:rPr>
                        </w:pPr>
                        <w:r w:rsidRPr="00526D0F">
                          <w:rPr>
                            <w:sz w:val="22"/>
                            <w:szCs w:val="22"/>
                          </w:rPr>
                          <w:t>Screened out</w:t>
                        </w:r>
                      </w:p>
                      <w:p w14:paraId="72056BBF"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0072CBBF"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4EFF147C" w14:textId="77777777"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4CD4207"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316B003A"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06ADF59" w14:textId="77777777"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7283858"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62E313C1" w14:textId="77777777" w:rsidR="00705E20" w:rsidRDefault="00705E20" w:rsidP="00E91D60">
      <w:pPr>
        <w:rPr>
          <w:rFonts w:cs="Arial"/>
          <w:b/>
          <w:sz w:val="28"/>
          <w:szCs w:val="28"/>
        </w:rPr>
      </w:pPr>
    </w:p>
    <w:p w14:paraId="3C79CE25" w14:textId="77777777" w:rsidR="00E91D60" w:rsidRPr="00C27F67" w:rsidRDefault="00E91D60" w:rsidP="00C27F67">
      <w:pPr>
        <w:pStyle w:val="Heading2"/>
        <w:rPr>
          <w:b/>
          <w:u w:val="single"/>
        </w:rPr>
      </w:pPr>
      <w:r w:rsidRPr="00C27F67">
        <w:rPr>
          <w:b/>
          <w:u w:val="single"/>
        </w:rPr>
        <w:t>Part 1. Policy scoping</w:t>
      </w:r>
    </w:p>
    <w:p w14:paraId="27E64506" w14:textId="77777777" w:rsidR="00E91D60" w:rsidRPr="00E91D60" w:rsidRDefault="00E91D60" w:rsidP="00E91D60">
      <w:pPr>
        <w:rPr>
          <w:rFonts w:cs="Arial"/>
          <w:b/>
          <w:sz w:val="16"/>
          <w:szCs w:val="16"/>
        </w:rPr>
      </w:pPr>
    </w:p>
    <w:p w14:paraId="47F2BA04"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45D70631" w14:textId="77777777" w:rsidR="00E91D60" w:rsidRPr="00E91D60" w:rsidRDefault="00E91D60" w:rsidP="00E91D60">
      <w:pPr>
        <w:autoSpaceDE w:val="0"/>
        <w:autoSpaceDN w:val="0"/>
        <w:adjustRightInd w:val="0"/>
        <w:rPr>
          <w:rFonts w:cs="Arial"/>
          <w:sz w:val="16"/>
          <w:szCs w:val="16"/>
        </w:rPr>
      </w:pPr>
    </w:p>
    <w:p w14:paraId="65155E5D"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FD20A72" w14:textId="77777777" w:rsidR="00E91D60" w:rsidRPr="00E91D60" w:rsidRDefault="00E91D60" w:rsidP="00E91D60">
      <w:pPr>
        <w:rPr>
          <w:rFonts w:cs="Arial"/>
          <w:bCs/>
          <w:sz w:val="16"/>
          <w:szCs w:val="16"/>
        </w:rPr>
      </w:pPr>
    </w:p>
    <w:p w14:paraId="37E7B080" w14:textId="77777777" w:rsidR="00E91D60" w:rsidRPr="00C27F67" w:rsidRDefault="00E91D60" w:rsidP="00691F6D">
      <w:pPr>
        <w:pStyle w:val="Heading3"/>
      </w:pPr>
      <w:r w:rsidRPr="00C27F67">
        <w:t xml:space="preserve">Information about the policy </w:t>
      </w:r>
    </w:p>
    <w:p w14:paraId="4E6AE65B" w14:textId="77777777" w:rsidR="00E91D60" w:rsidRDefault="00E91D60" w:rsidP="00E91D60">
      <w:pPr>
        <w:rPr>
          <w:rFonts w:cs="Arial"/>
          <w:b/>
          <w:sz w:val="28"/>
          <w:szCs w:val="28"/>
        </w:rPr>
      </w:pPr>
    </w:p>
    <w:p w14:paraId="76141250" w14:textId="77777777" w:rsidR="004E3127" w:rsidRDefault="004E3127" w:rsidP="004E3127">
      <w:pPr>
        <w:rPr>
          <w:rFonts w:cs="Arial"/>
          <w:sz w:val="28"/>
          <w:szCs w:val="28"/>
        </w:rPr>
      </w:pPr>
      <w:r w:rsidRPr="00495BF0">
        <w:rPr>
          <w:rFonts w:cs="Arial"/>
          <w:sz w:val="28"/>
          <w:szCs w:val="28"/>
        </w:rPr>
        <w:t>Name of the policy</w:t>
      </w:r>
    </w:p>
    <w:p w14:paraId="7B0F7E6C" w14:textId="77777777" w:rsidR="004E3127" w:rsidRDefault="004E3127" w:rsidP="004E3127">
      <w:pPr>
        <w:rPr>
          <w:rFonts w:cs="Arial"/>
          <w:sz w:val="28"/>
          <w:szCs w:val="28"/>
        </w:rPr>
      </w:pPr>
    </w:p>
    <w:p w14:paraId="572D061C" w14:textId="16097673" w:rsidR="004E3127" w:rsidRPr="00796BCA" w:rsidRDefault="00796BCA" w:rsidP="004E3127">
      <w:pPr>
        <w:rPr>
          <w:rFonts w:cs="Arial"/>
          <w:sz w:val="28"/>
          <w:szCs w:val="28"/>
        </w:rPr>
      </w:pPr>
      <w:r>
        <w:rPr>
          <w:rFonts w:cs="Arial"/>
          <w:sz w:val="28"/>
          <w:szCs w:val="28"/>
          <w:lang w:val="en-US"/>
        </w:rPr>
        <w:t>P</w:t>
      </w:r>
      <w:r w:rsidRPr="00796BCA">
        <w:rPr>
          <w:rFonts w:cs="Arial"/>
          <w:sz w:val="28"/>
          <w:szCs w:val="28"/>
          <w:lang w:val="en-US"/>
        </w:rPr>
        <w:t>roposal for primary legislation to resolve issues in regard to the Department’s financial powers</w:t>
      </w:r>
      <w:r w:rsidR="0081796F" w:rsidRPr="00796BCA">
        <w:rPr>
          <w:rFonts w:cs="Arial"/>
          <w:sz w:val="28"/>
          <w:szCs w:val="28"/>
        </w:rPr>
        <w:t xml:space="preserve"> </w:t>
      </w:r>
    </w:p>
    <w:p w14:paraId="4B43402B" w14:textId="77777777" w:rsidR="00721F8A" w:rsidRPr="00495BF0" w:rsidRDefault="00721F8A" w:rsidP="004E3127">
      <w:pPr>
        <w:rPr>
          <w:rFonts w:cs="Arial"/>
          <w:sz w:val="28"/>
          <w:szCs w:val="28"/>
        </w:rPr>
      </w:pPr>
    </w:p>
    <w:p w14:paraId="755051C3" w14:textId="77777777" w:rsidR="004E3127" w:rsidRDefault="004E3127" w:rsidP="004E3127">
      <w:pPr>
        <w:rPr>
          <w:rFonts w:cs="Arial"/>
          <w:sz w:val="28"/>
          <w:szCs w:val="28"/>
        </w:rPr>
      </w:pPr>
      <w:r w:rsidRPr="00495BF0">
        <w:rPr>
          <w:rFonts w:cs="Arial"/>
          <w:sz w:val="28"/>
          <w:szCs w:val="28"/>
        </w:rPr>
        <w:t>Is this an existing, revised or a new policy?</w:t>
      </w:r>
    </w:p>
    <w:p w14:paraId="255D8DC4" w14:textId="77777777" w:rsidR="004E3127" w:rsidRDefault="004E3127" w:rsidP="004E3127">
      <w:pPr>
        <w:rPr>
          <w:rFonts w:cs="Arial"/>
          <w:sz w:val="28"/>
          <w:szCs w:val="28"/>
        </w:rPr>
      </w:pPr>
    </w:p>
    <w:p w14:paraId="11146FA6" w14:textId="58BD9ACD" w:rsidR="004E3127" w:rsidRDefault="0081796F" w:rsidP="004E3127">
      <w:r>
        <w:rPr>
          <w:rFonts w:cs="Arial"/>
          <w:sz w:val="28"/>
          <w:szCs w:val="28"/>
        </w:rPr>
        <w:t>New</w:t>
      </w:r>
    </w:p>
    <w:p w14:paraId="580BE5CE" w14:textId="77777777" w:rsidR="004E3127" w:rsidRPr="00495BF0" w:rsidRDefault="004E3127" w:rsidP="004E3127">
      <w:pPr>
        <w:rPr>
          <w:rFonts w:cs="Arial"/>
          <w:sz w:val="28"/>
          <w:szCs w:val="28"/>
        </w:rPr>
      </w:pPr>
    </w:p>
    <w:p w14:paraId="5B7BFA02" w14:textId="77777777" w:rsidR="004E3127" w:rsidRDefault="004E3127" w:rsidP="004E3127">
      <w:pPr>
        <w:rPr>
          <w:rFonts w:cs="Arial"/>
          <w:sz w:val="28"/>
          <w:szCs w:val="28"/>
        </w:rPr>
      </w:pPr>
      <w:r w:rsidRPr="00495BF0">
        <w:rPr>
          <w:rFonts w:cs="Arial"/>
          <w:sz w:val="28"/>
          <w:szCs w:val="28"/>
        </w:rPr>
        <w:t xml:space="preserve">What is it trying to achieve? (intended aims/outcomes) </w:t>
      </w:r>
    </w:p>
    <w:p w14:paraId="71F2663C" w14:textId="77777777" w:rsidR="00E15A18" w:rsidRDefault="00E15A18" w:rsidP="00E15A18">
      <w:pPr>
        <w:jc w:val="both"/>
        <w:rPr>
          <w:rFonts w:cs="Arial"/>
          <w:sz w:val="28"/>
          <w:szCs w:val="28"/>
        </w:rPr>
      </w:pPr>
    </w:p>
    <w:p w14:paraId="7C11FF47" w14:textId="7468145E" w:rsidR="00901B93" w:rsidRDefault="00180296" w:rsidP="00901B93">
      <w:pPr>
        <w:jc w:val="both"/>
        <w:rPr>
          <w:rFonts w:cs="Arial"/>
          <w:bCs/>
          <w:iCs/>
          <w:sz w:val="28"/>
          <w:szCs w:val="28"/>
        </w:rPr>
      </w:pPr>
      <w:r>
        <w:rPr>
          <w:rFonts w:cs="Arial"/>
          <w:sz w:val="28"/>
          <w:szCs w:val="28"/>
        </w:rPr>
        <w:t>DfE is consulting on a</w:t>
      </w:r>
      <w:r w:rsidR="001835A2" w:rsidRPr="001835A2">
        <w:rPr>
          <w:rFonts w:cs="Arial"/>
          <w:sz w:val="28"/>
          <w:szCs w:val="28"/>
        </w:rPr>
        <w:t xml:space="preserve"> proposal for primary legislation to resolve issues in regard to the Department’s financial powers</w:t>
      </w:r>
      <w:r w:rsidR="001835A2">
        <w:rPr>
          <w:rFonts w:cs="Arial"/>
          <w:sz w:val="28"/>
          <w:szCs w:val="28"/>
        </w:rPr>
        <w:t>.</w:t>
      </w:r>
    </w:p>
    <w:p w14:paraId="008772F6" w14:textId="77777777" w:rsidR="00721F8A" w:rsidRDefault="00721F8A" w:rsidP="00901B93">
      <w:pPr>
        <w:jc w:val="both"/>
        <w:rPr>
          <w:rFonts w:cs="Arial"/>
          <w:bCs/>
          <w:iCs/>
          <w:sz w:val="28"/>
          <w:szCs w:val="28"/>
        </w:rPr>
      </w:pPr>
    </w:p>
    <w:p w14:paraId="63E6684A" w14:textId="77777777" w:rsidR="000B46A0" w:rsidRPr="000B46A0" w:rsidRDefault="000B46A0" w:rsidP="000B46A0">
      <w:pPr>
        <w:rPr>
          <w:rFonts w:cs="Arial"/>
          <w:sz w:val="28"/>
          <w:szCs w:val="28"/>
          <w:lang w:val="en-US"/>
        </w:rPr>
      </w:pPr>
      <w:bookmarkStart w:id="0" w:name="_Hlk163728945"/>
      <w:r w:rsidRPr="000B46A0">
        <w:rPr>
          <w:rFonts w:cs="Arial"/>
          <w:sz w:val="28"/>
          <w:szCs w:val="28"/>
          <w:lang w:val="en-US"/>
        </w:rPr>
        <w:t>DfE has identified the following financial issues that it proposes to resolve via primary legislation:</w:t>
      </w:r>
    </w:p>
    <w:p w14:paraId="193BC649" w14:textId="6CE2035B" w:rsidR="000B46A0" w:rsidRPr="000B46A0" w:rsidRDefault="000B46A0" w:rsidP="000B46A0">
      <w:pPr>
        <w:pStyle w:val="ListParagraph"/>
        <w:numPr>
          <w:ilvl w:val="1"/>
          <w:numId w:val="24"/>
        </w:numPr>
        <w:spacing w:before="240"/>
        <w:ind w:left="1134" w:hanging="567"/>
        <w:contextualSpacing w:val="0"/>
        <w:rPr>
          <w:rFonts w:eastAsia="Calibri" w:cs="Arial"/>
          <w:sz w:val="28"/>
          <w:szCs w:val="28"/>
        </w:rPr>
      </w:pPr>
      <w:r w:rsidRPr="000B46A0">
        <w:rPr>
          <w:rFonts w:eastAsia="Calibri" w:cs="Arial"/>
          <w:sz w:val="28"/>
          <w:szCs w:val="28"/>
        </w:rPr>
        <w:t xml:space="preserve">DfE’s power to provide financial assistance where it is likely to be in the interest of the economy; </w:t>
      </w:r>
    </w:p>
    <w:p w14:paraId="2532AB79" w14:textId="279FD76E" w:rsidR="000B46A0" w:rsidRPr="000B46A0" w:rsidRDefault="000B46A0" w:rsidP="000B46A0">
      <w:pPr>
        <w:pStyle w:val="ListParagraph"/>
        <w:numPr>
          <w:ilvl w:val="1"/>
          <w:numId w:val="24"/>
        </w:numPr>
        <w:spacing w:before="240"/>
        <w:ind w:left="1134" w:hanging="567"/>
        <w:contextualSpacing w:val="0"/>
        <w:rPr>
          <w:rFonts w:eastAsia="Calibri" w:cs="Arial"/>
          <w:sz w:val="28"/>
          <w:szCs w:val="28"/>
        </w:rPr>
      </w:pPr>
      <w:r w:rsidRPr="000B46A0">
        <w:rPr>
          <w:rFonts w:cs="Arial"/>
          <w:sz w:val="28"/>
          <w:szCs w:val="28"/>
        </w:rPr>
        <w:t>DfE’s power to exempt or remit certain fees in exceptional circumstances for Tourism Northern Ireland (TNI),</w:t>
      </w:r>
      <w:r w:rsidR="00543342" w:rsidRPr="00543342">
        <w:rPr>
          <w:rFonts w:cs="Arial"/>
          <w:color w:val="000000" w:themeColor="text1"/>
          <w:sz w:val="28"/>
          <w:szCs w:val="28"/>
        </w:rPr>
        <w:t xml:space="preserve"> </w:t>
      </w:r>
      <w:r w:rsidRPr="000B46A0">
        <w:rPr>
          <w:rFonts w:cs="Arial"/>
          <w:sz w:val="28"/>
          <w:szCs w:val="28"/>
        </w:rPr>
        <w:t>for TNI to have the flexibility to introduce new fees where appropriate,</w:t>
      </w:r>
      <w:r w:rsidRPr="00543342">
        <w:rPr>
          <w:rFonts w:cs="Arial"/>
          <w:color w:val="000000" w:themeColor="text1"/>
          <w:sz w:val="28"/>
          <w:szCs w:val="28"/>
        </w:rPr>
        <w:t xml:space="preserve"> </w:t>
      </w:r>
      <w:r w:rsidRPr="000B46A0">
        <w:rPr>
          <w:rFonts w:cs="Arial"/>
          <w:sz w:val="28"/>
          <w:szCs w:val="28"/>
        </w:rPr>
        <w:t>and to extend TNI’s existing ability to grade or classify certified tourist establishments to also include tourist amenities</w:t>
      </w:r>
      <w:bookmarkStart w:id="1" w:name="_Hlk163735616"/>
      <w:r w:rsidRPr="000B46A0">
        <w:rPr>
          <w:rFonts w:eastAsia="Calibri" w:cs="Arial"/>
          <w:sz w:val="28"/>
          <w:szCs w:val="28"/>
        </w:rPr>
        <w:t>;</w:t>
      </w:r>
      <w:bookmarkEnd w:id="1"/>
    </w:p>
    <w:p w14:paraId="23E90957" w14:textId="77777777" w:rsidR="000B46A0" w:rsidRPr="000B46A0" w:rsidRDefault="000B46A0" w:rsidP="000B46A0">
      <w:pPr>
        <w:pStyle w:val="ListParagraph"/>
        <w:numPr>
          <w:ilvl w:val="1"/>
          <w:numId w:val="24"/>
        </w:numPr>
        <w:spacing w:before="240" w:line="276" w:lineRule="auto"/>
        <w:ind w:left="1134" w:hanging="567"/>
        <w:contextualSpacing w:val="0"/>
        <w:rPr>
          <w:rFonts w:eastAsia="Calibri" w:cs="Arial"/>
          <w:sz w:val="28"/>
          <w:szCs w:val="28"/>
        </w:rPr>
      </w:pPr>
      <w:r w:rsidRPr="000B46A0">
        <w:rPr>
          <w:rFonts w:eastAsia="Calibri" w:cs="Arial"/>
          <w:sz w:val="28"/>
          <w:szCs w:val="28"/>
        </w:rPr>
        <w:lastRenderedPageBreak/>
        <w:t>DfE’s power to form companies;</w:t>
      </w:r>
    </w:p>
    <w:p w14:paraId="3E1813EA" w14:textId="1D2C13D7" w:rsidR="000B46A0" w:rsidRPr="000B46A0" w:rsidRDefault="000B46A0" w:rsidP="000B46A0">
      <w:pPr>
        <w:pStyle w:val="ListParagraph"/>
        <w:numPr>
          <w:ilvl w:val="1"/>
          <w:numId w:val="24"/>
        </w:numPr>
        <w:spacing w:before="240"/>
        <w:ind w:left="1134" w:hanging="567"/>
        <w:contextualSpacing w:val="0"/>
        <w:rPr>
          <w:rFonts w:eastAsia="Calibri" w:cs="Arial"/>
          <w:sz w:val="28"/>
          <w:szCs w:val="28"/>
        </w:rPr>
      </w:pPr>
      <w:bookmarkStart w:id="2" w:name="_Hlk166232647"/>
      <w:r w:rsidRPr="000B46A0">
        <w:rPr>
          <w:rFonts w:eastAsia="Calibri" w:cs="Arial"/>
          <w:sz w:val="28"/>
          <w:szCs w:val="28"/>
        </w:rPr>
        <w:t>Updating of section 1 of the Employment and Training Act (Northern Ireland) 1950</w:t>
      </w:r>
      <w:r w:rsidRPr="000B46A0">
        <w:rPr>
          <w:rStyle w:val="FootnoteReference"/>
          <w:rFonts w:eastAsia="Calibri" w:cs="Arial"/>
          <w:sz w:val="28"/>
          <w:szCs w:val="28"/>
        </w:rPr>
        <w:footnoteReference w:id="2"/>
      </w:r>
      <w:r>
        <w:rPr>
          <w:rFonts w:eastAsia="Calibri" w:cs="Arial"/>
          <w:sz w:val="28"/>
          <w:szCs w:val="28"/>
        </w:rPr>
        <w:t>.</w:t>
      </w:r>
    </w:p>
    <w:bookmarkEnd w:id="2"/>
    <w:p w14:paraId="3CC0D286" w14:textId="77777777" w:rsidR="000B46A0" w:rsidRDefault="000B46A0" w:rsidP="000B46A0">
      <w:pPr>
        <w:pStyle w:val="ListParagraph"/>
        <w:numPr>
          <w:ilvl w:val="1"/>
          <w:numId w:val="24"/>
        </w:numPr>
        <w:spacing w:before="240" w:line="276" w:lineRule="auto"/>
        <w:ind w:left="1134" w:hanging="567"/>
        <w:contextualSpacing w:val="0"/>
        <w:rPr>
          <w:rFonts w:eastAsia="Calibri" w:cs="Arial"/>
          <w:sz w:val="28"/>
          <w:szCs w:val="28"/>
        </w:rPr>
      </w:pPr>
      <w:r w:rsidRPr="000B46A0">
        <w:rPr>
          <w:rFonts w:eastAsia="Calibri" w:cs="Arial"/>
          <w:sz w:val="28"/>
          <w:szCs w:val="28"/>
        </w:rPr>
        <w:t>the handling of smaller Departmental accounts (i.e. possible absorption within the main Departmental accounts).</w:t>
      </w:r>
    </w:p>
    <w:p w14:paraId="7F5BE211" w14:textId="77777777" w:rsidR="000B46A0" w:rsidRPr="000B46A0" w:rsidRDefault="000B46A0" w:rsidP="000B46A0">
      <w:pPr>
        <w:pStyle w:val="ListParagraph"/>
        <w:spacing w:before="240" w:line="276" w:lineRule="auto"/>
        <w:ind w:left="1134"/>
        <w:contextualSpacing w:val="0"/>
        <w:rPr>
          <w:rFonts w:eastAsia="Calibri" w:cs="Arial"/>
          <w:sz w:val="28"/>
          <w:szCs w:val="28"/>
        </w:rPr>
      </w:pPr>
    </w:p>
    <w:bookmarkEnd w:id="0"/>
    <w:p w14:paraId="3EB06904" w14:textId="56B93141" w:rsidR="00F516F9" w:rsidRDefault="00F516F9" w:rsidP="00F02D1F">
      <w:pPr>
        <w:jc w:val="both"/>
        <w:rPr>
          <w:rFonts w:cs="Arial"/>
          <w:sz w:val="28"/>
          <w:szCs w:val="28"/>
        </w:rPr>
      </w:pPr>
      <w:r>
        <w:rPr>
          <w:rFonts w:cs="Arial"/>
          <w:sz w:val="28"/>
          <w:szCs w:val="28"/>
        </w:rPr>
        <w:t xml:space="preserve">The </w:t>
      </w:r>
      <w:r w:rsidR="00180296">
        <w:rPr>
          <w:rFonts w:cs="Arial"/>
          <w:sz w:val="28"/>
          <w:szCs w:val="28"/>
        </w:rPr>
        <w:t xml:space="preserve">proposal </w:t>
      </w:r>
      <w:r>
        <w:rPr>
          <w:rFonts w:cs="Arial"/>
          <w:sz w:val="28"/>
          <w:szCs w:val="28"/>
        </w:rPr>
        <w:t>contains provisions which would be permissive, however decision</w:t>
      </w:r>
      <w:r w:rsidR="00180296">
        <w:rPr>
          <w:rFonts w:cs="Arial"/>
          <w:sz w:val="28"/>
          <w:szCs w:val="28"/>
        </w:rPr>
        <w:t>s</w:t>
      </w:r>
      <w:r>
        <w:rPr>
          <w:rFonts w:cs="Arial"/>
          <w:sz w:val="28"/>
          <w:szCs w:val="28"/>
        </w:rPr>
        <w:t xml:space="preserve"> </w:t>
      </w:r>
      <w:r w:rsidR="0026592A">
        <w:rPr>
          <w:rFonts w:cs="Arial"/>
          <w:sz w:val="28"/>
          <w:szCs w:val="28"/>
        </w:rPr>
        <w:t xml:space="preserve">in the future </w:t>
      </w:r>
      <w:r>
        <w:rPr>
          <w:rFonts w:cs="Arial"/>
          <w:sz w:val="28"/>
          <w:szCs w:val="28"/>
        </w:rPr>
        <w:t xml:space="preserve">to make use of these provisions would be subject to use in accordance with DfE’s Equality Scheme, including screening as </w:t>
      </w:r>
      <w:r w:rsidR="00180296">
        <w:rPr>
          <w:rFonts w:cs="Arial"/>
          <w:sz w:val="28"/>
          <w:szCs w:val="28"/>
        </w:rPr>
        <w:t>applicable</w:t>
      </w:r>
      <w:r>
        <w:rPr>
          <w:rFonts w:cs="Arial"/>
          <w:sz w:val="28"/>
          <w:szCs w:val="28"/>
        </w:rPr>
        <w:t xml:space="preserve">.  </w:t>
      </w:r>
    </w:p>
    <w:p w14:paraId="2C3E7DD3" w14:textId="77777777" w:rsidR="00F516F9" w:rsidRPr="00495BF0" w:rsidRDefault="00F516F9" w:rsidP="004E3127">
      <w:pPr>
        <w:rPr>
          <w:rFonts w:cs="Arial"/>
          <w:sz w:val="28"/>
          <w:szCs w:val="28"/>
        </w:rPr>
      </w:pPr>
    </w:p>
    <w:p w14:paraId="149A1661" w14:textId="77777777"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14:paraId="76594FD7" w14:textId="77777777" w:rsidR="004E3127" w:rsidRDefault="004E3127" w:rsidP="004E3127">
      <w:pPr>
        <w:rPr>
          <w:rFonts w:cs="Arial"/>
          <w:sz w:val="28"/>
          <w:szCs w:val="28"/>
        </w:rPr>
      </w:pPr>
      <w:r w:rsidRPr="00495BF0">
        <w:rPr>
          <w:rFonts w:cs="Arial"/>
          <w:sz w:val="28"/>
          <w:szCs w:val="28"/>
        </w:rPr>
        <w:t xml:space="preserve">If so, explain how. </w:t>
      </w:r>
    </w:p>
    <w:p w14:paraId="5B58EBAE" w14:textId="77777777" w:rsidR="004E3127" w:rsidRDefault="004E3127" w:rsidP="004E3127">
      <w:pPr>
        <w:rPr>
          <w:rFonts w:cs="Arial"/>
          <w:sz w:val="28"/>
          <w:szCs w:val="28"/>
        </w:rPr>
      </w:pPr>
    </w:p>
    <w:p w14:paraId="76AFB25A" w14:textId="5AB294D3" w:rsidR="004E3127" w:rsidRDefault="005204E6" w:rsidP="004B7F75">
      <w:pPr>
        <w:jc w:val="both"/>
        <w:rPr>
          <w:rFonts w:cs="Arial"/>
          <w:sz w:val="28"/>
          <w:szCs w:val="28"/>
        </w:rPr>
      </w:pPr>
      <w:r>
        <w:rPr>
          <w:rFonts w:cs="Arial"/>
          <w:sz w:val="28"/>
          <w:szCs w:val="28"/>
        </w:rPr>
        <w:t xml:space="preserve">This legislation is technical in nature, </w:t>
      </w:r>
      <w:r w:rsidR="00F02D1F">
        <w:rPr>
          <w:rFonts w:cs="Arial"/>
          <w:sz w:val="28"/>
          <w:szCs w:val="28"/>
        </w:rPr>
        <w:t xml:space="preserve">although parts of it may be used in future to benefit the economy.  </w:t>
      </w:r>
      <w:r w:rsidR="004B7F75">
        <w:rPr>
          <w:rFonts w:cs="Arial"/>
          <w:sz w:val="28"/>
          <w:szCs w:val="28"/>
        </w:rPr>
        <w:t>Future i</w:t>
      </w:r>
      <w:r w:rsidR="00EE2CB6">
        <w:rPr>
          <w:rFonts w:cs="Arial"/>
          <w:sz w:val="28"/>
          <w:szCs w:val="28"/>
        </w:rPr>
        <w:t xml:space="preserve">mplementation of specific policies or projects </w:t>
      </w:r>
      <w:r w:rsidR="00120233">
        <w:rPr>
          <w:rFonts w:cs="Arial"/>
          <w:sz w:val="28"/>
          <w:szCs w:val="28"/>
        </w:rPr>
        <w:t xml:space="preserve">which are enabled by </w:t>
      </w:r>
      <w:r w:rsidR="00180296">
        <w:rPr>
          <w:rFonts w:cs="Arial"/>
          <w:sz w:val="28"/>
          <w:szCs w:val="28"/>
        </w:rPr>
        <w:t>these provisions</w:t>
      </w:r>
      <w:r w:rsidR="00120233">
        <w:rPr>
          <w:rFonts w:cs="Arial"/>
          <w:sz w:val="28"/>
          <w:szCs w:val="28"/>
        </w:rPr>
        <w:t xml:space="preserve"> will be </w:t>
      </w:r>
      <w:r w:rsidR="005E4D57" w:rsidRPr="00F02D1F">
        <w:rPr>
          <w:rFonts w:cs="Arial"/>
          <w:sz w:val="28"/>
          <w:szCs w:val="28"/>
        </w:rPr>
        <w:t xml:space="preserve">considered </w:t>
      </w:r>
      <w:r w:rsidR="00903758" w:rsidRPr="00F02D1F">
        <w:rPr>
          <w:rFonts w:cs="Arial"/>
          <w:sz w:val="28"/>
          <w:szCs w:val="28"/>
        </w:rPr>
        <w:t xml:space="preserve">in accordance with DfE’s Equality </w:t>
      </w:r>
      <w:r w:rsidR="00F02D1F" w:rsidRPr="00F02D1F">
        <w:rPr>
          <w:rFonts w:cs="Arial"/>
          <w:sz w:val="28"/>
          <w:szCs w:val="28"/>
        </w:rPr>
        <w:t xml:space="preserve">Scheme </w:t>
      </w:r>
      <w:r w:rsidR="00F02D1F">
        <w:rPr>
          <w:rFonts w:cs="Arial"/>
          <w:sz w:val="28"/>
          <w:szCs w:val="28"/>
        </w:rPr>
        <w:t>on a case by case basis by the relevant policy / project lead.</w:t>
      </w:r>
      <w:r w:rsidR="00D648BD">
        <w:rPr>
          <w:rFonts w:cs="Arial"/>
          <w:sz w:val="28"/>
          <w:szCs w:val="28"/>
        </w:rPr>
        <w:t xml:space="preserve">  </w:t>
      </w:r>
    </w:p>
    <w:p w14:paraId="447D7CAE" w14:textId="77777777" w:rsidR="00D648BD" w:rsidRDefault="00D648BD" w:rsidP="004E3127">
      <w:pPr>
        <w:rPr>
          <w:rFonts w:cs="Arial"/>
          <w:sz w:val="28"/>
          <w:szCs w:val="28"/>
        </w:rPr>
      </w:pPr>
    </w:p>
    <w:p w14:paraId="4D5A1D4E" w14:textId="77777777" w:rsidR="004E3127" w:rsidRDefault="004E3127" w:rsidP="004E3127">
      <w:pPr>
        <w:rPr>
          <w:rFonts w:cs="Arial"/>
          <w:sz w:val="28"/>
          <w:szCs w:val="28"/>
        </w:rPr>
      </w:pPr>
      <w:r w:rsidRPr="00495BF0">
        <w:rPr>
          <w:rFonts w:cs="Arial"/>
          <w:sz w:val="28"/>
          <w:szCs w:val="28"/>
        </w:rPr>
        <w:t xml:space="preserve">Who initiated or wrote the policy? </w:t>
      </w:r>
    </w:p>
    <w:p w14:paraId="152327DC" w14:textId="77777777" w:rsidR="004E3127" w:rsidRDefault="004E3127" w:rsidP="004E3127">
      <w:pPr>
        <w:rPr>
          <w:rFonts w:cs="Arial"/>
          <w:sz w:val="28"/>
          <w:szCs w:val="28"/>
        </w:rPr>
      </w:pPr>
    </w:p>
    <w:p w14:paraId="7B092E74" w14:textId="138086B1" w:rsidR="00660D1F" w:rsidRDefault="00104D24" w:rsidP="004E3127">
      <w:pPr>
        <w:rPr>
          <w:rFonts w:cs="Arial"/>
          <w:sz w:val="28"/>
          <w:szCs w:val="28"/>
        </w:rPr>
      </w:pPr>
      <w:r>
        <w:rPr>
          <w:rFonts w:cs="Arial"/>
          <w:sz w:val="28"/>
          <w:szCs w:val="28"/>
        </w:rPr>
        <w:t>D</w:t>
      </w:r>
      <w:r w:rsidR="00FD3162">
        <w:rPr>
          <w:rFonts w:cs="Arial"/>
          <w:sz w:val="28"/>
          <w:szCs w:val="28"/>
        </w:rPr>
        <w:t>epartment for the Economy</w:t>
      </w:r>
      <w:r w:rsidR="00BE6C0F">
        <w:rPr>
          <w:rFonts w:cs="Arial"/>
          <w:sz w:val="28"/>
          <w:szCs w:val="28"/>
        </w:rPr>
        <w:t>,</w:t>
      </w:r>
      <w:r>
        <w:rPr>
          <w:rFonts w:cs="Arial"/>
          <w:sz w:val="28"/>
          <w:szCs w:val="28"/>
        </w:rPr>
        <w:t xml:space="preserve"> </w:t>
      </w:r>
      <w:r w:rsidR="00EC7C22">
        <w:rPr>
          <w:rFonts w:cs="Arial"/>
          <w:sz w:val="28"/>
          <w:szCs w:val="28"/>
        </w:rPr>
        <w:t>Economic Vision Division</w:t>
      </w:r>
      <w:r w:rsidR="00E442B5">
        <w:rPr>
          <w:rFonts w:cs="Arial"/>
          <w:sz w:val="28"/>
          <w:szCs w:val="28"/>
        </w:rPr>
        <w:t>, with input from across the Department</w:t>
      </w:r>
      <w:r w:rsidR="00161DC9">
        <w:rPr>
          <w:rFonts w:cs="Arial"/>
          <w:sz w:val="28"/>
          <w:szCs w:val="28"/>
        </w:rPr>
        <w:t>.</w:t>
      </w:r>
    </w:p>
    <w:p w14:paraId="28AD12CE" w14:textId="77777777" w:rsidR="00660D1F" w:rsidRDefault="00660D1F" w:rsidP="004E3127">
      <w:pPr>
        <w:rPr>
          <w:rFonts w:cs="Arial"/>
          <w:sz w:val="28"/>
          <w:szCs w:val="28"/>
        </w:rPr>
      </w:pPr>
    </w:p>
    <w:p w14:paraId="1F353B72" w14:textId="2A4809CF"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14:paraId="58364EBE" w14:textId="77777777" w:rsidR="002F3D15" w:rsidRDefault="002F3D15" w:rsidP="004E3127">
      <w:pPr>
        <w:rPr>
          <w:rFonts w:cs="Arial"/>
          <w:sz w:val="28"/>
          <w:szCs w:val="28"/>
        </w:rPr>
      </w:pPr>
    </w:p>
    <w:p w14:paraId="28A9EB8B" w14:textId="6921271D" w:rsidR="00E91D60" w:rsidRDefault="00FD3162" w:rsidP="00E91D60">
      <w:pPr>
        <w:rPr>
          <w:rFonts w:cs="Arial"/>
          <w:sz w:val="28"/>
          <w:szCs w:val="28"/>
        </w:rPr>
      </w:pPr>
      <w:r>
        <w:rPr>
          <w:rFonts w:cs="Arial"/>
          <w:sz w:val="28"/>
          <w:szCs w:val="28"/>
        </w:rPr>
        <w:t>Department for the Economy</w:t>
      </w:r>
      <w:r w:rsidR="00161DC9">
        <w:rPr>
          <w:rFonts w:cs="Arial"/>
          <w:sz w:val="28"/>
          <w:szCs w:val="28"/>
        </w:rPr>
        <w:t>.</w:t>
      </w:r>
    </w:p>
    <w:p w14:paraId="22460BD9" w14:textId="77777777" w:rsidR="00660D1F" w:rsidRDefault="00660D1F" w:rsidP="00E91D60">
      <w:pPr>
        <w:rPr>
          <w:rFonts w:cs="Arial"/>
          <w:b/>
          <w:sz w:val="28"/>
          <w:szCs w:val="28"/>
        </w:rPr>
      </w:pPr>
    </w:p>
    <w:p w14:paraId="19BE00E6" w14:textId="77777777" w:rsidR="004E3127" w:rsidRDefault="004E3127" w:rsidP="00E91D60">
      <w:pPr>
        <w:rPr>
          <w:rFonts w:cs="Arial"/>
          <w:b/>
          <w:sz w:val="28"/>
          <w:szCs w:val="28"/>
        </w:rPr>
      </w:pPr>
    </w:p>
    <w:p w14:paraId="29354362" w14:textId="77777777" w:rsidR="00E91D60" w:rsidRPr="00C27F67" w:rsidRDefault="00E91D60" w:rsidP="00691F6D">
      <w:pPr>
        <w:pStyle w:val="Heading3"/>
      </w:pPr>
      <w:r w:rsidRPr="00C27F67">
        <w:t>Implementation factors</w:t>
      </w:r>
    </w:p>
    <w:p w14:paraId="7B66D98B" w14:textId="77777777" w:rsidR="00E91D60" w:rsidRDefault="00E91D60" w:rsidP="00E91D60">
      <w:pPr>
        <w:rPr>
          <w:rFonts w:cs="Arial"/>
          <w:sz w:val="28"/>
          <w:szCs w:val="28"/>
        </w:rPr>
      </w:pPr>
    </w:p>
    <w:p w14:paraId="33B4AC9F" w14:textId="77777777"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p>
    <w:p w14:paraId="1CFE6FCA" w14:textId="77777777" w:rsidR="00E91D60" w:rsidRPr="00CC0740" w:rsidRDefault="00E91D60" w:rsidP="00E91D60">
      <w:pPr>
        <w:rPr>
          <w:rFonts w:cs="Arial"/>
          <w:sz w:val="28"/>
          <w:szCs w:val="28"/>
        </w:rPr>
      </w:pPr>
    </w:p>
    <w:p w14:paraId="214DD691" w14:textId="3B3395C8" w:rsidR="00E91D60" w:rsidRPr="000A779B" w:rsidRDefault="000A779B" w:rsidP="007067B2">
      <w:pPr>
        <w:rPr>
          <w:rFonts w:cs="Arial"/>
          <w:sz w:val="28"/>
          <w:szCs w:val="28"/>
        </w:rPr>
      </w:pPr>
      <w:r w:rsidRPr="000A779B">
        <w:rPr>
          <w:rFonts w:cs="Arial"/>
          <w:b/>
          <w:bCs/>
          <w:sz w:val="28"/>
          <w:szCs w:val="28"/>
        </w:rPr>
        <w:t>L</w:t>
      </w:r>
      <w:r w:rsidR="00E91D60" w:rsidRPr="000A779B">
        <w:rPr>
          <w:rFonts w:cs="Arial"/>
          <w:b/>
          <w:bCs/>
          <w:sz w:val="28"/>
          <w:szCs w:val="28"/>
        </w:rPr>
        <w:t>egislative</w:t>
      </w:r>
      <w:r>
        <w:rPr>
          <w:rFonts w:cs="Arial"/>
          <w:b/>
          <w:bCs/>
          <w:sz w:val="28"/>
          <w:szCs w:val="28"/>
        </w:rPr>
        <w:t xml:space="preserve"> </w:t>
      </w:r>
      <w:r w:rsidR="00B93E79">
        <w:rPr>
          <w:rFonts w:cs="Arial"/>
          <w:b/>
          <w:bCs/>
          <w:sz w:val="28"/>
          <w:szCs w:val="28"/>
        </w:rPr>
        <w:t>–</w:t>
      </w:r>
      <w:r>
        <w:rPr>
          <w:rFonts w:cs="Arial"/>
          <w:b/>
          <w:bCs/>
          <w:sz w:val="28"/>
          <w:szCs w:val="28"/>
        </w:rPr>
        <w:t xml:space="preserve"> </w:t>
      </w:r>
      <w:r w:rsidR="00B93E79">
        <w:rPr>
          <w:rFonts w:cs="Arial"/>
          <w:sz w:val="28"/>
          <w:szCs w:val="28"/>
        </w:rPr>
        <w:t xml:space="preserve">as this </w:t>
      </w:r>
      <w:r w:rsidR="00180296">
        <w:rPr>
          <w:rFonts w:cs="Arial"/>
          <w:sz w:val="28"/>
          <w:szCs w:val="28"/>
        </w:rPr>
        <w:t>proposal relates to</w:t>
      </w:r>
      <w:r w:rsidR="00B93E79">
        <w:rPr>
          <w:rFonts w:cs="Arial"/>
          <w:sz w:val="28"/>
          <w:szCs w:val="28"/>
        </w:rPr>
        <w:t xml:space="preserve"> Primary Legislation</w:t>
      </w:r>
      <w:r w:rsidR="00F83EF9">
        <w:rPr>
          <w:rFonts w:cs="Arial"/>
          <w:sz w:val="28"/>
          <w:szCs w:val="28"/>
        </w:rPr>
        <w:t>,</w:t>
      </w:r>
      <w:r w:rsidR="00B93E79">
        <w:rPr>
          <w:rFonts w:cs="Arial"/>
          <w:sz w:val="28"/>
          <w:szCs w:val="28"/>
        </w:rPr>
        <w:t xml:space="preserve"> </w:t>
      </w:r>
      <w:r w:rsidR="00F83EF9">
        <w:rPr>
          <w:rFonts w:cs="Arial"/>
          <w:sz w:val="28"/>
          <w:szCs w:val="28"/>
        </w:rPr>
        <w:t xml:space="preserve">the </w:t>
      </w:r>
      <w:r w:rsidR="00D648BD">
        <w:rPr>
          <w:rFonts w:cs="Arial"/>
          <w:sz w:val="28"/>
          <w:szCs w:val="28"/>
        </w:rPr>
        <w:t>outcome</w:t>
      </w:r>
      <w:r w:rsidR="000D75FC">
        <w:rPr>
          <w:rFonts w:cs="Arial"/>
          <w:sz w:val="28"/>
          <w:szCs w:val="28"/>
        </w:rPr>
        <w:t xml:space="preserve"> is subject to the full legislative process.</w:t>
      </w:r>
    </w:p>
    <w:p w14:paraId="422D2E66" w14:textId="77777777" w:rsidR="00E91D60" w:rsidRPr="00CC0740" w:rsidRDefault="00E91D60" w:rsidP="007067B2">
      <w:pPr>
        <w:rPr>
          <w:rFonts w:cs="Arial"/>
          <w:sz w:val="28"/>
          <w:szCs w:val="28"/>
        </w:rPr>
      </w:pPr>
    </w:p>
    <w:p w14:paraId="453E6B37" w14:textId="77777777" w:rsidR="00E91D60" w:rsidRPr="000A779B" w:rsidRDefault="00E91D60" w:rsidP="00E91D60">
      <w:pPr>
        <w:rPr>
          <w:rFonts w:cs="Arial"/>
          <w:bCs/>
          <w:sz w:val="28"/>
          <w:szCs w:val="28"/>
        </w:rPr>
      </w:pPr>
    </w:p>
    <w:p w14:paraId="06A3F673" w14:textId="77777777" w:rsidR="00E91D60" w:rsidRPr="00C27F67" w:rsidRDefault="00E91D60" w:rsidP="00691F6D">
      <w:pPr>
        <w:pStyle w:val="Heading3"/>
      </w:pPr>
      <w:r w:rsidRPr="00C27F67">
        <w:t>Main stakeholders affected</w:t>
      </w:r>
    </w:p>
    <w:p w14:paraId="5B32489B" w14:textId="77777777" w:rsidR="00E91D60" w:rsidRDefault="00E91D60" w:rsidP="00E91D60">
      <w:pPr>
        <w:rPr>
          <w:rFonts w:cs="Arial"/>
          <w:b/>
          <w:sz w:val="28"/>
          <w:szCs w:val="28"/>
        </w:rPr>
      </w:pPr>
    </w:p>
    <w:p w14:paraId="3318504E" w14:textId="0C48982C"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p>
    <w:p w14:paraId="46CD8CB0" w14:textId="77777777" w:rsidR="00E91D60" w:rsidRPr="00CC0740" w:rsidRDefault="00E91D60" w:rsidP="00E91D60">
      <w:pPr>
        <w:spacing w:before="120"/>
        <w:ind w:left="301"/>
        <w:rPr>
          <w:rFonts w:cs="Arial"/>
          <w:sz w:val="28"/>
          <w:szCs w:val="28"/>
        </w:rPr>
      </w:pPr>
    </w:p>
    <w:p w14:paraId="569B194C" w14:textId="77777777" w:rsidR="00E91D60" w:rsidRPr="00CC0740" w:rsidRDefault="00E91D60" w:rsidP="007067B2">
      <w:pPr>
        <w:rPr>
          <w:rFonts w:cs="Arial"/>
          <w:sz w:val="28"/>
          <w:szCs w:val="28"/>
        </w:rPr>
      </w:pPr>
      <w:r w:rsidRPr="00CC0740">
        <w:rPr>
          <w:rFonts w:cs="Arial"/>
          <w:sz w:val="28"/>
          <w:szCs w:val="28"/>
        </w:rPr>
        <w:t>staff</w:t>
      </w:r>
    </w:p>
    <w:p w14:paraId="17265EE4" w14:textId="77777777" w:rsidR="00E91D60" w:rsidRPr="00CC0740" w:rsidRDefault="00E91D60" w:rsidP="007067B2">
      <w:pPr>
        <w:rPr>
          <w:rFonts w:cs="Arial"/>
          <w:sz w:val="28"/>
          <w:szCs w:val="28"/>
        </w:rPr>
      </w:pPr>
    </w:p>
    <w:p w14:paraId="369BB182" w14:textId="77777777" w:rsidR="00E91D60" w:rsidRPr="00CC0740" w:rsidRDefault="00E91D60" w:rsidP="007067B2">
      <w:pPr>
        <w:rPr>
          <w:rFonts w:cs="Arial"/>
          <w:sz w:val="28"/>
          <w:szCs w:val="28"/>
        </w:rPr>
      </w:pPr>
      <w:r>
        <w:rPr>
          <w:rFonts w:cs="Arial"/>
          <w:sz w:val="28"/>
          <w:szCs w:val="28"/>
        </w:rPr>
        <w:t>other</w:t>
      </w:r>
      <w:r w:rsidRPr="00CC0740">
        <w:rPr>
          <w:rFonts w:cs="Arial"/>
          <w:sz w:val="28"/>
          <w:szCs w:val="28"/>
        </w:rPr>
        <w:t xml:space="preserve"> public sector organisations</w:t>
      </w:r>
    </w:p>
    <w:p w14:paraId="0DF58AD7" w14:textId="77777777" w:rsidR="00E91D60" w:rsidRPr="00CC0740" w:rsidRDefault="00E91D60" w:rsidP="007067B2">
      <w:pPr>
        <w:rPr>
          <w:rFonts w:cs="Arial"/>
          <w:sz w:val="28"/>
          <w:szCs w:val="28"/>
        </w:rPr>
      </w:pPr>
    </w:p>
    <w:p w14:paraId="1FDC1FF1" w14:textId="77777777" w:rsidR="00E91D60" w:rsidRPr="00CC0740" w:rsidRDefault="00E91D60" w:rsidP="007067B2">
      <w:pPr>
        <w:rPr>
          <w:rFonts w:cs="Arial"/>
          <w:sz w:val="28"/>
          <w:szCs w:val="28"/>
        </w:rPr>
      </w:pPr>
      <w:r>
        <w:rPr>
          <w:rFonts w:cs="Arial"/>
          <w:sz w:val="28"/>
          <w:szCs w:val="28"/>
        </w:rPr>
        <w:t>voluntary/community/trade unions</w:t>
      </w:r>
    </w:p>
    <w:p w14:paraId="5AC21F1D" w14:textId="77777777" w:rsidR="00E91D60" w:rsidRPr="00CC0740" w:rsidRDefault="00E91D60" w:rsidP="007067B2">
      <w:pPr>
        <w:rPr>
          <w:rFonts w:cs="Arial"/>
          <w:sz w:val="28"/>
          <w:szCs w:val="28"/>
        </w:rPr>
      </w:pPr>
    </w:p>
    <w:p w14:paraId="64308F13" w14:textId="110E254A" w:rsidR="00E91D60" w:rsidRDefault="00E91D60" w:rsidP="007067B2">
      <w:pPr>
        <w:rPr>
          <w:rFonts w:cs="Arial"/>
          <w:sz w:val="28"/>
          <w:szCs w:val="28"/>
        </w:rPr>
      </w:pPr>
      <w:r>
        <w:rPr>
          <w:rFonts w:cs="Arial"/>
          <w:sz w:val="28"/>
          <w:szCs w:val="28"/>
        </w:rPr>
        <w:t>o</w:t>
      </w:r>
      <w:r w:rsidRPr="00CC0740">
        <w:rPr>
          <w:rFonts w:cs="Arial"/>
          <w:sz w:val="28"/>
          <w:szCs w:val="28"/>
        </w:rPr>
        <w:t>ther</w:t>
      </w:r>
      <w:r w:rsidR="00FA68A2" w:rsidRPr="00FA68A2">
        <w:rPr>
          <w:rFonts w:cs="Arial"/>
          <w:sz w:val="28"/>
          <w:szCs w:val="28"/>
        </w:rPr>
        <w:t xml:space="preserve"> - </w:t>
      </w:r>
      <w:r w:rsidR="00FA68A2" w:rsidRPr="00FA68A2">
        <w:rPr>
          <w:sz w:val="28"/>
          <w:szCs w:val="28"/>
        </w:rPr>
        <w:t>Private sector businesses, Industry, Local Councils, Academia &amp; Educational Institutions (Universities, Colleges and Education Authorities)</w:t>
      </w:r>
    </w:p>
    <w:p w14:paraId="35EDA930" w14:textId="77777777" w:rsidR="00E91D60" w:rsidRDefault="00E91D60" w:rsidP="00E91D60">
      <w:pPr>
        <w:ind w:left="1167"/>
        <w:rPr>
          <w:rFonts w:cs="Arial"/>
          <w:sz w:val="28"/>
          <w:szCs w:val="28"/>
        </w:rPr>
      </w:pPr>
    </w:p>
    <w:p w14:paraId="798075BE" w14:textId="77777777" w:rsidR="00E91D60" w:rsidRDefault="00E91D60" w:rsidP="00E91D60">
      <w:pPr>
        <w:rPr>
          <w:rFonts w:cs="Arial"/>
          <w:sz w:val="28"/>
          <w:szCs w:val="28"/>
        </w:rPr>
      </w:pPr>
    </w:p>
    <w:p w14:paraId="5031FC06" w14:textId="77777777" w:rsidR="00E91D60" w:rsidRPr="00C27F67" w:rsidRDefault="00E91D60" w:rsidP="00691F6D">
      <w:pPr>
        <w:pStyle w:val="Heading3"/>
      </w:pPr>
      <w:r w:rsidRPr="00C27F67">
        <w:t>Other policies with a bearing on this policy</w:t>
      </w:r>
    </w:p>
    <w:p w14:paraId="5CB1A3A8" w14:textId="77777777" w:rsidR="00E91D60" w:rsidRPr="00FA0121" w:rsidRDefault="00E91D60" w:rsidP="00E91D60">
      <w:pPr>
        <w:rPr>
          <w:rFonts w:cs="Arial"/>
          <w:sz w:val="28"/>
          <w:szCs w:val="28"/>
          <w:lang w:val="en-US"/>
        </w:rPr>
      </w:pPr>
    </w:p>
    <w:p w14:paraId="2B6F6F1C" w14:textId="583B7C26" w:rsidR="00E91D60" w:rsidRDefault="00E91D60" w:rsidP="000C19DA">
      <w:pPr>
        <w:numPr>
          <w:ilvl w:val="0"/>
          <w:numId w:val="2"/>
        </w:numPr>
        <w:spacing w:line="240" w:lineRule="atLeast"/>
        <w:ind w:hanging="180"/>
        <w:rPr>
          <w:rFonts w:cs="Arial"/>
          <w:bCs/>
          <w:sz w:val="28"/>
          <w:szCs w:val="28"/>
        </w:rPr>
      </w:pPr>
      <w:r w:rsidRPr="00E17E34">
        <w:rPr>
          <w:rFonts w:cs="Arial"/>
          <w:bCs/>
          <w:sz w:val="28"/>
          <w:szCs w:val="28"/>
        </w:rPr>
        <w:t>what are they?</w:t>
      </w:r>
    </w:p>
    <w:p w14:paraId="06C08831" w14:textId="77777777" w:rsidR="00003BDF" w:rsidRDefault="00003BDF" w:rsidP="00003BDF">
      <w:pPr>
        <w:spacing w:line="240" w:lineRule="atLeast"/>
        <w:ind w:left="720"/>
        <w:rPr>
          <w:rFonts w:cs="Arial"/>
          <w:bCs/>
          <w:sz w:val="28"/>
          <w:szCs w:val="28"/>
        </w:rPr>
      </w:pPr>
    </w:p>
    <w:p w14:paraId="2355D105" w14:textId="24DBEAD9" w:rsidR="00672F38" w:rsidRPr="00E17E34" w:rsidRDefault="0046476A" w:rsidP="0046476A">
      <w:pPr>
        <w:spacing w:line="240" w:lineRule="atLeast"/>
        <w:rPr>
          <w:rFonts w:cs="Arial"/>
          <w:bCs/>
          <w:sz w:val="28"/>
          <w:szCs w:val="28"/>
        </w:rPr>
      </w:pPr>
      <w:r>
        <w:rPr>
          <w:rFonts w:cs="Arial"/>
          <w:bCs/>
          <w:sz w:val="28"/>
          <w:szCs w:val="28"/>
        </w:rPr>
        <w:t xml:space="preserve">The following legislation </w:t>
      </w:r>
      <w:r w:rsidR="00BE6C0F">
        <w:rPr>
          <w:rFonts w:cs="Arial"/>
          <w:bCs/>
          <w:sz w:val="28"/>
          <w:szCs w:val="28"/>
        </w:rPr>
        <w:t>is</w:t>
      </w:r>
      <w:r w:rsidR="00642204">
        <w:rPr>
          <w:rFonts w:cs="Arial"/>
          <w:bCs/>
          <w:sz w:val="28"/>
          <w:szCs w:val="28"/>
        </w:rPr>
        <w:t xml:space="preserve"> likely to require amendment if primary legislation proceeds: </w:t>
      </w:r>
    </w:p>
    <w:p w14:paraId="4871E89B" w14:textId="77777777" w:rsidR="00672F38" w:rsidRPr="00672F38" w:rsidRDefault="009C1C25" w:rsidP="00672F38">
      <w:pPr>
        <w:spacing w:line="240" w:lineRule="atLeast"/>
        <w:ind w:left="180" w:hanging="180"/>
        <w:rPr>
          <w:sz w:val="28"/>
          <w:szCs w:val="28"/>
        </w:rPr>
      </w:pPr>
      <w:r w:rsidRPr="00672F38">
        <w:rPr>
          <w:sz w:val="28"/>
          <w:szCs w:val="28"/>
        </w:rPr>
        <w:t xml:space="preserve">The Education and Libraries (Northern Ireland) Order </w:t>
      </w:r>
    </w:p>
    <w:p w14:paraId="4EC2ECF3" w14:textId="77777777" w:rsidR="00672F38" w:rsidRDefault="009C1C25" w:rsidP="00672F38">
      <w:pPr>
        <w:spacing w:line="240" w:lineRule="atLeast"/>
        <w:ind w:left="180" w:hanging="180"/>
        <w:rPr>
          <w:sz w:val="28"/>
          <w:szCs w:val="28"/>
        </w:rPr>
      </w:pPr>
      <w:r w:rsidRPr="00672F38">
        <w:rPr>
          <w:sz w:val="28"/>
          <w:szCs w:val="28"/>
        </w:rPr>
        <w:t xml:space="preserve">Employment and Training Act (Northern Ireland) 1950 </w:t>
      </w:r>
    </w:p>
    <w:p w14:paraId="0FCD7374" w14:textId="77777777" w:rsidR="00672F38" w:rsidRDefault="009C1C25" w:rsidP="00672F38">
      <w:pPr>
        <w:spacing w:line="240" w:lineRule="atLeast"/>
        <w:ind w:left="180" w:hanging="180"/>
        <w:rPr>
          <w:sz w:val="28"/>
          <w:szCs w:val="28"/>
        </w:rPr>
      </w:pPr>
      <w:r w:rsidRPr="00672F38">
        <w:rPr>
          <w:sz w:val="28"/>
          <w:szCs w:val="28"/>
        </w:rPr>
        <w:t xml:space="preserve">The Tourism (Northern Ireland) Order 1992 </w:t>
      </w:r>
    </w:p>
    <w:p w14:paraId="79192889" w14:textId="5535087A" w:rsidR="00672F38" w:rsidRDefault="009C1C25" w:rsidP="00672F38">
      <w:pPr>
        <w:spacing w:line="240" w:lineRule="atLeast"/>
        <w:ind w:left="180" w:hanging="180"/>
        <w:rPr>
          <w:sz w:val="28"/>
          <w:szCs w:val="28"/>
        </w:rPr>
      </w:pPr>
      <w:r w:rsidRPr="00672F38">
        <w:rPr>
          <w:sz w:val="28"/>
          <w:szCs w:val="28"/>
        </w:rPr>
        <w:t>Petroleum (Production) Act (Northern Ireland) 1964</w:t>
      </w:r>
    </w:p>
    <w:p w14:paraId="267DDE86" w14:textId="6E932222" w:rsidR="00E91D60" w:rsidRDefault="009C1C25" w:rsidP="00672F38">
      <w:pPr>
        <w:spacing w:line="240" w:lineRule="atLeast"/>
        <w:ind w:left="180" w:hanging="180"/>
        <w:rPr>
          <w:sz w:val="28"/>
          <w:szCs w:val="28"/>
        </w:rPr>
      </w:pPr>
      <w:r w:rsidRPr="00672F38">
        <w:rPr>
          <w:sz w:val="28"/>
          <w:szCs w:val="28"/>
        </w:rPr>
        <w:t>Mineral Development Act (Northern Ireland) 1969.</w:t>
      </w:r>
    </w:p>
    <w:p w14:paraId="6F63293A" w14:textId="77777777" w:rsidR="00672F38" w:rsidRPr="00672F38" w:rsidRDefault="00672F38" w:rsidP="00672F38">
      <w:pPr>
        <w:spacing w:line="240" w:lineRule="atLeast"/>
        <w:ind w:left="180" w:hanging="180"/>
        <w:rPr>
          <w:rFonts w:cs="Arial"/>
          <w:bCs/>
          <w:sz w:val="28"/>
          <w:szCs w:val="28"/>
        </w:rPr>
      </w:pPr>
    </w:p>
    <w:p w14:paraId="611FFD5A" w14:textId="77777777" w:rsidR="00003BDF" w:rsidRDefault="00E91D60" w:rsidP="00691F6D">
      <w:pPr>
        <w:numPr>
          <w:ilvl w:val="0"/>
          <w:numId w:val="2"/>
        </w:numPr>
        <w:tabs>
          <w:tab w:val="clear" w:pos="720"/>
          <w:tab w:val="num" w:pos="567"/>
        </w:tabs>
        <w:spacing w:line="240" w:lineRule="atLeast"/>
        <w:ind w:left="142" w:firstLine="398"/>
        <w:rPr>
          <w:rFonts w:cs="Arial"/>
          <w:b/>
          <w:sz w:val="28"/>
          <w:szCs w:val="28"/>
        </w:rPr>
      </w:pPr>
      <w:r w:rsidRPr="00FA0121">
        <w:rPr>
          <w:rFonts w:cs="Arial"/>
          <w:bCs/>
          <w:sz w:val="28"/>
          <w:szCs w:val="28"/>
        </w:rPr>
        <w:t>who owns them?</w:t>
      </w:r>
      <w:r w:rsidR="00E17E34">
        <w:rPr>
          <w:rFonts w:cs="Arial"/>
          <w:b/>
          <w:sz w:val="28"/>
          <w:szCs w:val="28"/>
        </w:rPr>
        <w:t xml:space="preserve"> </w:t>
      </w:r>
    </w:p>
    <w:p w14:paraId="7FF10916" w14:textId="77777777" w:rsidR="00003BDF" w:rsidRDefault="00003BDF" w:rsidP="00003BDF">
      <w:pPr>
        <w:spacing w:line="240" w:lineRule="atLeast"/>
        <w:ind w:left="540"/>
        <w:rPr>
          <w:rFonts w:cs="Arial"/>
          <w:b/>
          <w:sz w:val="28"/>
          <w:szCs w:val="28"/>
        </w:rPr>
      </w:pPr>
    </w:p>
    <w:p w14:paraId="17486D7B" w14:textId="05E2F242" w:rsidR="00003BDF" w:rsidRPr="00003BDF" w:rsidRDefault="003F73F0" w:rsidP="00003BDF">
      <w:pPr>
        <w:spacing w:line="240" w:lineRule="atLeast"/>
        <w:rPr>
          <w:rFonts w:cs="Arial"/>
          <w:bCs/>
          <w:sz w:val="28"/>
          <w:szCs w:val="28"/>
        </w:rPr>
      </w:pPr>
      <w:r>
        <w:rPr>
          <w:rFonts w:cs="Arial"/>
          <w:bCs/>
          <w:sz w:val="28"/>
          <w:szCs w:val="28"/>
        </w:rPr>
        <w:t xml:space="preserve">The Department for the Economy.  </w:t>
      </w:r>
    </w:p>
    <w:p w14:paraId="2E315318" w14:textId="1A4D01BD" w:rsidR="00E91D60" w:rsidRPr="00FA0121" w:rsidRDefault="00E91D60" w:rsidP="00691F6D">
      <w:pPr>
        <w:numPr>
          <w:ilvl w:val="0"/>
          <w:numId w:val="2"/>
        </w:numPr>
        <w:tabs>
          <w:tab w:val="clear" w:pos="720"/>
          <w:tab w:val="num" w:pos="567"/>
        </w:tabs>
        <w:spacing w:line="240" w:lineRule="atLeast"/>
        <w:ind w:left="142" w:firstLine="398"/>
        <w:rPr>
          <w:rFonts w:cs="Arial"/>
          <w:b/>
          <w:sz w:val="28"/>
          <w:szCs w:val="28"/>
        </w:rPr>
      </w:pPr>
      <w:r w:rsidRPr="00003BDF">
        <w:rPr>
          <w:rFonts w:cs="Arial"/>
          <w:bCs/>
          <w:sz w:val="28"/>
          <w:szCs w:val="28"/>
        </w:rPr>
        <w:br w:type="page"/>
      </w:r>
      <w:r w:rsidRPr="00691F6D">
        <w:rPr>
          <w:rStyle w:val="Heading3Char"/>
        </w:rPr>
        <w:lastRenderedPageBreak/>
        <w:t>Available evidence</w:t>
      </w:r>
      <w:r w:rsidRPr="001167B8">
        <w:rPr>
          <w:rFonts w:cs="Arial"/>
          <w:b/>
          <w:color w:val="2F5496" w:themeColor="accent1" w:themeShade="BF"/>
          <w:sz w:val="28"/>
          <w:szCs w:val="28"/>
        </w:rPr>
        <w:t xml:space="preserve"> </w:t>
      </w:r>
    </w:p>
    <w:p w14:paraId="354D8900" w14:textId="77777777" w:rsidR="00E91D60" w:rsidRDefault="00E91D60" w:rsidP="00E91D60">
      <w:pPr>
        <w:autoSpaceDE w:val="0"/>
        <w:autoSpaceDN w:val="0"/>
        <w:adjustRightInd w:val="0"/>
        <w:rPr>
          <w:rFonts w:cs="Arial"/>
          <w:sz w:val="28"/>
          <w:szCs w:val="28"/>
        </w:rPr>
      </w:pPr>
    </w:p>
    <w:p w14:paraId="7A8D9133"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3"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24084751" w14:textId="77777777" w:rsidR="00E91D60" w:rsidRPr="00FA0121" w:rsidRDefault="00E91D60" w:rsidP="00E91D60">
      <w:pPr>
        <w:autoSpaceDE w:val="0"/>
        <w:autoSpaceDN w:val="0"/>
        <w:adjustRightInd w:val="0"/>
        <w:rPr>
          <w:rFonts w:cs="Arial"/>
          <w:b/>
          <w:sz w:val="28"/>
          <w:szCs w:val="28"/>
        </w:rPr>
      </w:pPr>
    </w:p>
    <w:p w14:paraId="6CA4B694" w14:textId="77777777" w:rsidR="00E91D60" w:rsidRPr="008C67A9"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ED7A617" w14:textId="77777777" w:rsidR="00A26B5A" w:rsidRDefault="00A26B5A" w:rsidP="00180296">
      <w:pPr>
        <w:jc w:val="both"/>
        <w:rPr>
          <w:rFonts w:cs="Arial"/>
          <w:sz w:val="28"/>
          <w:szCs w:val="28"/>
        </w:rPr>
      </w:pPr>
    </w:p>
    <w:p w14:paraId="35B03599" w14:textId="77777777" w:rsidR="00A26B5A" w:rsidRDefault="00A26B5A" w:rsidP="00180296">
      <w:pPr>
        <w:jc w:val="both"/>
        <w:rPr>
          <w:rFonts w:cs="Arial"/>
          <w:sz w:val="28"/>
          <w:szCs w:val="28"/>
        </w:rPr>
      </w:pPr>
    </w:p>
    <w:p w14:paraId="2D592A80" w14:textId="13C6F46D" w:rsidR="00180296" w:rsidRDefault="00180296" w:rsidP="00180296">
      <w:pPr>
        <w:jc w:val="both"/>
        <w:rPr>
          <w:rFonts w:cs="Arial"/>
          <w:sz w:val="28"/>
          <w:szCs w:val="28"/>
        </w:rPr>
      </w:pPr>
      <w:r>
        <w:rPr>
          <w:rFonts w:cs="Arial"/>
          <w:sz w:val="28"/>
          <w:szCs w:val="28"/>
        </w:rPr>
        <w:t>This legislation is technical in nature, although parts of it may be used in future to benefit the economy.</w:t>
      </w:r>
      <w:r w:rsidR="00B27E09">
        <w:rPr>
          <w:rFonts w:cs="Arial"/>
          <w:sz w:val="28"/>
          <w:szCs w:val="28"/>
        </w:rPr>
        <w:t xml:space="preserve">  Overall evidence in relation to S75 categories is provided below.  </w:t>
      </w:r>
      <w:r>
        <w:rPr>
          <w:rFonts w:cs="Arial"/>
          <w:sz w:val="28"/>
          <w:szCs w:val="28"/>
        </w:rPr>
        <w:t xml:space="preserve">  </w:t>
      </w:r>
    </w:p>
    <w:p w14:paraId="50C04159" w14:textId="77777777" w:rsidR="00180296" w:rsidRDefault="00180296" w:rsidP="00180296">
      <w:pPr>
        <w:jc w:val="both"/>
        <w:rPr>
          <w:rFonts w:cs="Arial"/>
          <w:sz w:val="28"/>
          <w:szCs w:val="28"/>
        </w:rPr>
      </w:pPr>
    </w:p>
    <w:p w14:paraId="7A97CCCB" w14:textId="29DBE2D7" w:rsidR="00180296" w:rsidRDefault="00180296" w:rsidP="00180296">
      <w:pPr>
        <w:autoSpaceDE w:val="0"/>
        <w:autoSpaceDN w:val="0"/>
        <w:adjustRightInd w:val="0"/>
        <w:rPr>
          <w:rFonts w:cs="Arial"/>
          <w:sz w:val="28"/>
          <w:szCs w:val="28"/>
        </w:rPr>
      </w:pPr>
      <w:r>
        <w:rPr>
          <w:rFonts w:cs="Arial"/>
          <w:sz w:val="28"/>
          <w:szCs w:val="28"/>
        </w:rPr>
        <w:t xml:space="preserve">Future implementation of specific policies or projects which are enabled by these provisions will be </w:t>
      </w:r>
      <w:r w:rsidRPr="00A448DE">
        <w:rPr>
          <w:rFonts w:cs="Arial"/>
          <w:sz w:val="28"/>
          <w:szCs w:val="28"/>
        </w:rPr>
        <w:t>considered in accordance with DfE’s Equality Scheme</w:t>
      </w:r>
      <w:r>
        <w:rPr>
          <w:rFonts w:cs="Arial"/>
          <w:sz w:val="28"/>
          <w:szCs w:val="28"/>
        </w:rPr>
        <w:t xml:space="preserve"> on a case by case basis by the relevant policy / project lead. </w:t>
      </w:r>
    </w:p>
    <w:p w14:paraId="52259190" w14:textId="77777777" w:rsidR="00180296" w:rsidRDefault="00180296" w:rsidP="00180296">
      <w:pPr>
        <w:autoSpaceDE w:val="0"/>
        <w:autoSpaceDN w:val="0"/>
        <w:adjustRightInd w:val="0"/>
        <w:rPr>
          <w:rFonts w:cs="Arial"/>
          <w:sz w:val="28"/>
          <w:szCs w:val="28"/>
        </w:rPr>
      </w:pPr>
    </w:p>
    <w:p w14:paraId="3277B986" w14:textId="4A11B8FB" w:rsidR="000B46A0" w:rsidRPr="000B46A0" w:rsidRDefault="000B46A0" w:rsidP="000B46A0">
      <w:pPr>
        <w:rPr>
          <w:rFonts w:cs="Arial"/>
          <w:sz w:val="28"/>
          <w:szCs w:val="28"/>
        </w:rPr>
      </w:pPr>
      <w:r>
        <w:rPr>
          <w:rFonts w:cs="Arial"/>
          <w:sz w:val="28"/>
          <w:szCs w:val="28"/>
        </w:rPr>
        <w:t xml:space="preserve">This </w:t>
      </w:r>
      <w:r w:rsidRPr="000B46A0">
        <w:rPr>
          <w:rFonts w:cs="Arial"/>
          <w:sz w:val="28"/>
          <w:szCs w:val="28"/>
        </w:rPr>
        <w:t xml:space="preserve">draft </w:t>
      </w:r>
      <w:r>
        <w:rPr>
          <w:rFonts w:cs="Arial"/>
          <w:sz w:val="28"/>
          <w:szCs w:val="28"/>
        </w:rPr>
        <w:t>S</w:t>
      </w:r>
      <w:r w:rsidRPr="000B46A0">
        <w:rPr>
          <w:rFonts w:cs="Arial"/>
          <w:sz w:val="28"/>
          <w:szCs w:val="28"/>
        </w:rPr>
        <w:t>75 Equality Screening document has been published along with th</w:t>
      </w:r>
      <w:r>
        <w:rPr>
          <w:rFonts w:cs="Arial"/>
          <w:sz w:val="28"/>
          <w:szCs w:val="28"/>
        </w:rPr>
        <w:t>e</w:t>
      </w:r>
      <w:r w:rsidRPr="000B46A0">
        <w:rPr>
          <w:rFonts w:cs="Arial"/>
          <w:sz w:val="28"/>
          <w:szCs w:val="28"/>
        </w:rPr>
        <w:t xml:space="preserve"> consultation</w:t>
      </w:r>
      <w:r>
        <w:rPr>
          <w:rFonts w:cs="Arial"/>
          <w:sz w:val="28"/>
          <w:szCs w:val="28"/>
        </w:rPr>
        <w:t xml:space="preserve"> on the proposal</w:t>
      </w:r>
      <w:r w:rsidRPr="000B46A0">
        <w:rPr>
          <w:rFonts w:cs="Arial"/>
          <w:sz w:val="28"/>
          <w:szCs w:val="28"/>
        </w:rPr>
        <w:t xml:space="preserve">.  The proposal is currently screened out without mitigation, however DfE welcomes additional information or feedback on this proposal that would be relevant to the screening.  We will update the draft </w:t>
      </w:r>
      <w:r>
        <w:rPr>
          <w:rFonts w:cs="Arial"/>
          <w:sz w:val="28"/>
          <w:szCs w:val="28"/>
        </w:rPr>
        <w:t>S</w:t>
      </w:r>
      <w:r w:rsidRPr="000B46A0">
        <w:rPr>
          <w:rFonts w:cs="Arial"/>
          <w:sz w:val="28"/>
          <w:szCs w:val="28"/>
        </w:rPr>
        <w:t xml:space="preserve">75 Equality Screening following the consultation.  </w:t>
      </w:r>
    </w:p>
    <w:p w14:paraId="75A045C9" w14:textId="77777777" w:rsidR="00180296" w:rsidRDefault="00180296" w:rsidP="00E91D60">
      <w:pPr>
        <w:autoSpaceDE w:val="0"/>
        <w:autoSpaceDN w:val="0"/>
        <w:adjustRightInd w:val="0"/>
        <w:rPr>
          <w:rFonts w:cs="Arial"/>
          <w:b/>
          <w:sz w:val="28"/>
          <w:szCs w:val="28"/>
        </w:rPr>
      </w:pPr>
    </w:p>
    <w:p w14:paraId="60E26037" w14:textId="77777777" w:rsidR="00776185" w:rsidRPr="00FA0121" w:rsidRDefault="00776185" w:rsidP="00E91D60">
      <w:pPr>
        <w:autoSpaceDE w:val="0"/>
        <w:autoSpaceDN w:val="0"/>
        <w:adjustRightInd w:val="0"/>
        <w:rPr>
          <w:rFonts w:cs="Arial"/>
          <w:b/>
          <w:sz w:val="28"/>
          <w:szCs w:val="28"/>
        </w:rPr>
      </w:pPr>
    </w:p>
    <w:p w14:paraId="1FDFA628" w14:textId="228F022C" w:rsidR="004C4232" w:rsidRDefault="00B92E4E" w:rsidP="00B92E4E">
      <w:pPr>
        <w:rPr>
          <w:rFonts w:cs="Arial"/>
          <w:sz w:val="28"/>
          <w:szCs w:val="28"/>
        </w:rPr>
      </w:pPr>
      <w:r w:rsidRPr="00B92E4E">
        <w:rPr>
          <w:rFonts w:cs="Arial"/>
          <w:b/>
          <w:sz w:val="28"/>
          <w:szCs w:val="28"/>
        </w:rPr>
        <w:t>Religious belief</w:t>
      </w:r>
      <w:r w:rsidRPr="00B92E4E">
        <w:rPr>
          <w:rFonts w:cs="Arial"/>
          <w:sz w:val="28"/>
          <w:szCs w:val="28"/>
        </w:rPr>
        <w:t xml:space="preserve"> evidence / information:</w:t>
      </w:r>
      <w:r w:rsidR="009963DF">
        <w:rPr>
          <w:rFonts w:cs="Arial"/>
          <w:sz w:val="28"/>
          <w:szCs w:val="28"/>
        </w:rPr>
        <w:t xml:space="preserve">  </w:t>
      </w:r>
    </w:p>
    <w:p w14:paraId="0AE7C112" w14:textId="77777777" w:rsidR="00D54AC0" w:rsidRDefault="00D54AC0" w:rsidP="00B92E4E"/>
    <w:p w14:paraId="4D08BFE8" w14:textId="23459E6F" w:rsidR="00B373D3" w:rsidRDefault="00B373D3" w:rsidP="000A472F">
      <w:pPr>
        <w:jc w:val="both"/>
        <w:rPr>
          <w:rFonts w:cs="Arial"/>
          <w:sz w:val="28"/>
          <w:szCs w:val="28"/>
        </w:rPr>
      </w:pPr>
      <w:r>
        <w:rPr>
          <w:rFonts w:cs="Arial"/>
          <w:sz w:val="28"/>
          <w:szCs w:val="28"/>
        </w:rPr>
        <w:t>In 2021, the main current religions were: Catholic (42.3%); Presbyterian (16.6%); Church of Ireland (11.</w:t>
      </w:r>
      <w:r w:rsidR="000E24C5">
        <w:rPr>
          <w:rFonts w:cs="Arial"/>
          <w:sz w:val="28"/>
          <w:szCs w:val="28"/>
        </w:rPr>
        <w:t>6</w:t>
      </w:r>
      <w:r>
        <w:rPr>
          <w:rFonts w:cs="Arial"/>
          <w:sz w:val="28"/>
          <w:szCs w:val="28"/>
        </w:rPr>
        <w:t>%); Methodist (2.</w:t>
      </w:r>
      <w:r w:rsidR="000E24C5">
        <w:rPr>
          <w:rFonts w:cs="Arial"/>
          <w:sz w:val="28"/>
          <w:szCs w:val="28"/>
        </w:rPr>
        <w:t>4</w:t>
      </w:r>
      <w:r>
        <w:rPr>
          <w:rFonts w:cs="Arial"/>
          <w:sz w:val="28"/>
          <w:szCs w:val="28"/>
        </w:rPr>
        <w:t>%); Other Christian denominations (6.9%); and Other religions (1.3%). In addition 17.4% of our population had ‘No religion’.</w:t>
      </w:r>
      <w:r>
        <w:rPr>
          <w:rStyle w:val="FootnoteReference"/>
          <w:rFonts w:cs="Arial"/>
          <w:sz w:val="28"/>
          <w:szCs w:val="28"/>
        </w:rPr>
        <w:footnoteReference w:id="3"/>
      </w:r>
    </w:p>
    <w:p w14:paraId="63B70ADC" w14:textId="77777777" w:rsidR="00B373D3" w:rsidRDefault="00B373D3" w:rsidP="000A472F">
      <w:pPr>
        <w:jc w:val="both"/>
        <w:rPr>
          <w:rFonts w:cs="Arial"/>
          <w:sz w:val="28"/>
          <w:szCs w:val="28"/>
        </w:rPr>
      </w:pPr>
    </w:p>
    <w:p w14:paraId="00288320" w14:textId="2ADBC795" w:rsidR="00B373D3" w:rsidRPr="00F516F9" w:rsidRDefault="00B373D3" w:rsidP="000A472F">
      <w:pPr>
        <w:jc w:val="both"/>
        <w:rPr>
          <w:rFonts w:cs="Arial"/>
          <w:sz w:val="28"/>
          <w:szCs w:val="28"/>
        </w:rPr>
      </w:pPr>
      <w:r>
        <w:rPr>
          <w:rFonts w:cs="Arial"/>
          <w:sz w:val="28"/>
          <w:szCs w:val="28"/>
        </w:rPr>
        <w:t>The Equality Commission Fair Employment Monitoring Report found that in 202</w:t>
      </w:r>
      <w:r w:rsidR="005E2A99">
        <w:rPr>
          <w:rFonts w:cs="Arial"/>
          <w:sz w:val="28"/>
          <w:szCs w:val="28"/>
        </w:rPr>
        <w:t>1</w:t>
      </w:r>
      <w:r>
        <w:rPr>
          <w:rFonts w:cs="Arial"/>
          <w:sz w:val="28"/>
          <w:szCs w:val="28"/>
        </w:rPr>
        <w:t xml:space="preserve"> </w:t>
      </w:r>
      <w:r w:rsidR="00F516F9" w:rsidRPr="00F516F9">
        <w:rPr>
          <w:sz w:val="28"/>
          <w:szCs w:val="28"/>
        </w:rPr>
        <w:t xml:space="preserve">members of the Protestant community 50.2% represented a greater share of the private sector workforce. The Catholic community share of the private sector workforce was 49.8%, an increase of 0.2 pp from 49.6% in 2020, and 9.4 pp from 40.4% in 2001. There has been an average increase, of 0.5 pp per annum in the </w:t>
      </w:r>
      <w:r w:rsidR="00F516F9" w:rsidRPr="00F516F9">
        <w:rPr>
          <w:sz w:val="28"/>
          <w:szCs w:val="28"/>
        </w:rPr>
        <w:lastRenderedPageBreak/>
        <w:t>Roman Catholic community share of the private sector workforce between 2001 and 2021</w:t>
      </w:r>
      <w:r w:rsidRPr="00F516F9">
        <w:rPr>
          <w:rFonts w:cs="Arial"/>
          <w:sz w:val="28"/>
          <w:szCs w:val="28"/>
        </w:rPr>
        <w:t>.</w:t>
      </w:r>
      <w:r w:rsidRPr="00F516F9">
        <w:rPr>
          <w:rStyle w:val="FootnoteReference"/>
          <w:rFonts w:cs="Arial"/>
          <w:sz w:val="28"/>
          <w:szCs w:val="28"/>
        </w:rPr>
        <w:footnoteReference w:id="4"/>
      </w:r>
      <w:r w:rsidRPr="00F516F9">
        <w:rPr>
          <w:rFonts w:cs="Arial"/>
          <w:sz w:val="28"/>
          <w:szCs w:val="28"/>
        </w:rPr>
        <w:t xml:space="preserve"> </w:t>
      </w:r>
    </w:p>
    <w:p w14:paraId="38AE8A90" w14:textId="77777777" w:rsidR="00C10D71" w:rsidRDefault="00C10D71" w:rsidP="00B92E4E"/>
    <w:p w14:paraId="62C3F089" w14:textId="77777777" w:rsidR="00D54AC0" w:rsidRPr="00B92E4E" w:rsidRDefault="00D54AC0" w:rsidP="00B92E4E">
      <w:pPr>
        <w:rPr>
          <w:rFonts w:cs="Arial"/>
          <w:sz w:val="28"/>
          <w:szCs w:val="28"/>
        </w:rPr>
      </w:pPr>
    </w:p>
    <w:p w14:paraId="32E5EF48" w14:textId="77777777" w:rsidR="0081629B"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14:paraId="79CF5628" w14:textId="77777777" w:rsidR="0081629B" w:rsidRDefault="0081629B" w:rsidP="00B92E4E">
      <w:pPr>
        <w:rPr>
          <w:rFonts w:cs="Arial"/>
          <w:sz w:val="28"/>
          <w:szCs w:val="28"/>
        </w:rPr>
      </w:pPr>
    </w:p>
    <w:p w14:paraId="7C16612B" w14:textId="2597E7E9" w:rsidR="00B92E4E" w:rsidRDefault="0081629B" w:rsidP="000A472F">
      <w:pPr>
        <w:jc w:val="both"/>
        <w:rPr>
          <w:rFonts w:cs="Arial"/>
          <w:sz w:val="28"/>
          <w:szCs w:val="28"/>
        </w:rPr>
      </w:pPr>
      <w:r>
        <w:rPr>
          <w:rFonts w:cs="Arial"/>
          <w:sz w:val="28"/>
          <w:szCs w:val="28"/>
        </w:rPr>
        <w:t>In 2021 in the NI Life and Times Survey, 3</w:t>
      </w:r>
      <w:r w:rsidR="0057431D">
        <w:rPr>
          <w:rFonts w:cs="Arial"/>
          <w:sz w:val="28"/>
          <w:szCs w:val="28"/>
        </w:rPr>
        <w:t>1</w:t>
      </w:r>
      <w:r>
        <w:rPr>
          <w:rFonts w:cs="Arial"/>
          <w:sz w:val="28"/>
          <w:szCs w:val="28"/>
        </w:rPr>
        <w:t xml:space="preserve">% identified as unionist, 26% as Nationalist, 38% as neither, 1% provided another answer and </w:t>
      </w:r>
      <w:r w:rsidR="0057431D">
        <w:rPr>
          <w:rFonts w:cs="Arial"/>
          <w:sz w:val="28"/>
          <w:szCs w:val="28"/>
        </w:rPr>
        <w:t>4</w:t>
      </w:r>
      <w:r>
        <w:rPr>
          <w:rFonts w:cs="Arial"/>
          <w:sz w:val="28"/>
          <w:szCs w:val="28"/>
        </w:rPr>
        <w:t>% didn’t know.</w:t>
      </w:r>
      <w:r>
        <w:rPr>
          <w:rStyle w:val="FootnoteReference"/>
          <w:rFonts w:cs="Arial"/>
          <w:sz w:val="28"/>
          <w:szCs w:val="28"/>
        </w:rPr>
        <w:footnoteReference w:id="5"/>
      </w:r>
      <w:r>
        <w:rPr>
          <w:rFonts w:cs="Arial"/>
          <w:sz w:val="28"/>
          <w:szCs w:val="28"/>
        </w:rPr>
        <w:t xml:space="preserve"> </w:t>
      </w:r>
      <w:r w:rsidRPr="00B92E4E">
        <w:rPr>
          <w:rFonts w:cs="Arial"/>
          <w:sz w:val="28"/>
          <w:szCs w:val="28"/>
        </w:rPr>
        <w:br w:type="textWrapping" w:clear="all"/>
      </w:r>
    </w:p>
    <w:p w14:paraId="14D4200F" w14:textId="77777777" w:rsidR="002A4BA8" w:rsidRPr="007E1988" w:rsidRDefault="002A4BA8" w:rsidP="00B92E4E"/>
    <w:p w14:paraId="710CAE4F" w14:textId="77777777" w:rsidR="0057431D"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evidence / information:</w:t>
      </w:r>
    </w:p>
    <w:p w14:paraId="019AB2F3" w14:textId="2020A44C" w:rsidR="00B92E4E" w:rsidRPr="00B92E4E" w:rsidRDefault="00B92E4E" w:rsidP="000A472F">
      <w:pPr>
        <w:jc w:val="both"/>
      </w:pPr>
      <w:r w:rsidRPr="00B92E4E">
        <w:rPr>
          <w:rFonts w:cs="Arial"/>
          <w:sz w:val="28"/>
          <w:szCs w:val="28"/>
        </w:rPr>
        <w:br w:type="textWrapping" w:clear="all"/>
      </w:r>
      <w:r w:rsidR="007E1988" w:rsidRPr="006677E2">
        <w:rPr>
          <w:rFonts w:cs="Arial"/>
          <w:sz w:val="28"/>
          <w:szCs w:val="28"/>
        </w:rPr>
        <w:t>On Census Day 2021, 3.</w:t>
      </w:r>
      <w:r w:rsidR="00EA172D">
        <w:rPr>
          <w:rFonts w:cs="Arial"/>
          <w:sz w:val="28"/>
          <w:szCs w:val="28"/>
        </w:rPr>
        <w:t>5</w:t>
      </w:r>
      <w:r w:rsidR="007E1988" w:rsidRPr="006677E2">
        <w:rPr>
          <w:rFonts w:cs="Arial"/>
          <w:sz w:val="28"/>
          <w:szCs w:val="28"/>
        </w:rPr>
        <w:t>% of the population, or 65,60</w:t>
      </w:r>
      <w:r w:rsidR="00751855">
        <w:rPr>
          <w:rFonts w:cs="Arial"/>
          <w:sz w:val="28"/>
          <w:szCs w:val="28"/>
        </w:rPr>
        <w:t>0</w:t>
      </w:r>
      <w:r w:rsidR="007E1988" w:rsidRPr="006677E2">
        <w:rPr>
          <w:rFonts w:cs="Arial"/>
          <w:sz w:val="28"/>
          <w:szCs w:val="28"/>
        </w:rPr>
        <w:t xml:space="preserve"> people, belonged to minority ethnic groups. This </w:t>
      </w:r>
      <w:r w:rsidR="007E1988">
        <w:rPr>
          <w:rFonts w:cs="Arial"/>
          <w:sz w:val="28"/>
          <w:szCs w:val="28"/>
        </w:rPr>
        <w:t>was</w:t>
      </w:r>
      <w:r w:rsidR="007E1988" w:rsidRPr="006677E2">
        <w:rPr>
          <w:rFonts w:cs="Arial"/>
          <w:sz w:val="28"/>
          <w:szCs w:val="28"/>
        </w:rPr>
        <w:t xml:space="preserve"> around double the 2011 figure (1.8% – 32,400 people) and four times the 2001 figure (0.8% – 14,300 people)</w:t>
      </w:r>
      <w:r w:rsidR="007E1988">
        <w:rPr>
          <w:rFonts w:cs="Arial"/>
          <w:sz w:val="28"/>
          <w:szCs w:val="28"/>
        </w:rPr>
        <w:t>. The largest ethnic minority group was Black (11,000 – 0.6%), Indian (9,900 – 0.5%) and Chinese (9,500, 0.5%)</w:t>
      </w:r>
      <w:r w:rsidR="00AE6766">
        <w:rPr>
          <w:rFonts w:cs="Arial"/>
          <w:sz w:val="28"/>
          <w:szCs w:val="28"/>
        </w:rPr>
        <w:t>.  96.6% of the population was white</w:t>
      </w:r>
      <w:r w:rsidR="00E6269C">
        <w:rPr>
          <w:rStyle w:val="FootnoteReference"/>
          <w:rFonts w:cs="Arial"/>
          <w:sz w:val="28"/>
          <w:szCs w:val="28"/>
        </w:rPr>
        <w:footnoteReference w:id="6"/>
      </w:r>
      <w:r w:rsidR="007E1988">
        <w:rPr>
          <w:rFonts w:cs="Arial"/>
          <w:sz w:val="28"/>
          <w:szCs w:val="28"/>
        </w:rPr>
        <w:t>.</w:t>
      </w:r>
    </w:p>
    <w:p w14:paraId="26CFBF5D" w14:textId="77777777" w:rsidR="00B92E4E" w:rsidRDefault="00B92E4E" w:rsidP="000A472F">
      <w:pPr>
        <w:jc w:val="both"/>
        <w:rPr>
          <w:rFonts w:cs="Arial"/>
          <w:sz w:val="28"/>
          <w:szCs w:val="28"/>
        </w:rPr>
      </w:pPr>
    </w:p>
    <w:p w14:paraId="482E9387" w14:textId="77777777" w:rsidR="000A472F" w:rsidRPr="00B92E4E" w:rsidRDefault="000A472F" w:rsidP="00B92E4E">
      <w:pPr>
        <w:rPr>
          <w:rFonts w:cs="Arial"/>
          <w:sz w:val="28"/>
          <w:szCs w:val="28"/>
        </w:rPr>
      </w:pPr>
    </w:p>
    <w:p w14:paraId="0F3A867C" w14:textId="77777777" w:rsidR="009E3682" w:rsidRDefault="00B92E4E" w:rsidP="009E3682">
      <w:pPr>
        <w:rPr>
          <w:rFonts w:cs="Arial"/>
          <w:sz w:val="28"/>
          <w:szCs w:val="28"/>
        </w:rPr>
      </w:pPr>
      <w:r w:rsidRPr="00B92E4E">
        <w:rPr>
          <w:rFonts w:cs="Arial"/>
          <w:b/>
          <w:sz w:val="28"/>
          <w:szCs w:val="28"/>
        </w:rPr>
        <w:t>Age</w:t>
      </w:r>
      <w:r w:rsidRPr="00B92E4E">
        <w:rPr>
          <w:rFonts w:cs="Arial"/>
          <w:sz w:val="28"/>
          <w:szCs w:val="28"/>
        </w:rPr>
        <w:t xml:space="preserve"> evidence / information:</w:t>
      </w:r>
    </w:p>
    <w:p w14:paraId="6E7930EF" w14:textId="5FBDCBA6" w:rsidR="009E3682" w:rsidRDefault="00B92E4E" w:rsidP="009E3682">
      <w:pPr>
        <w:rPr>
          <w:rFonts w:cs="Arial"/>
          <w:sz w:val="28"/>
          <w:szCs w:val="28"/>
        </w:rPr>
      </w:pPr>
      <w:r w:rsidRPr="00B92E4E">
        <w:rPr>
          <w:rFonts w:cs="Arial"/>
          <w:sz w:val="28"/>
          <w:szCs w:val="28"/>
        </w:rPr>
        <w:br w:type="textWrapping" w:clear="all"/>
      </w:r>
      <w:r w:rsidR="009E3682">
        <w:rPr>
          <w:rFonts w:cs="Arial"/>
          <w:sz w:val="28"/>
          <w:szCs w:val="28"/>
        </w:rPr>
        <w:t>The 2021 census provided the following breakdown of our population:</w:t>
      </w:r>
      <w:r w:rsidR="009E3682">
        <w:rPr>
          <w:rStyle w:val="FootnoteReference"/>
          <w:rFonts w:cs="Arial"/>
          <w:sz w:val="28"/>
          <w:szCs w:val="28"/>
        </w:rPr>
        <w:footnoteReference w:id="7"/>
      </w:r>
    </w:p>
    <w:tbl>
      <w:tblPr>
        <w:tblStyle w:val="TableGridLight"/>
        <w:tblW w:w="4610" w:type="dxa"/>
        <w:tblLook w:val="04A0" w:firstRow="1" w:lastRow="0" w:firstColumn="1" w:lastColumn="0" w:noHBand="0" w:noVBand="1"/>
      </w:tblPr>
      <w:tblGrid>
        <w:gridCol w:w="1330"/>
        <w:gridCol w:w="1616"/>
        <w:gridCol w:w="1664"/>
      </w:tblGrid>
      <w:tr w:rsidR="009E3682" w:rsidRPr="00935357" w14:paraId="76C7B088" w14:textId="77777777" w:rsidTr="003C4768">
        <w:trPr>
          <w:trHeight w:val="350"/>
        </w:trPr>
        <w:tc>
          <w:tcPr>
            <w:tcW w:w="1330" w:type="dxa"/>
            <w:noWrap/>
            <w:hideMark/>
          </w:tcPr>
          <w:p w14:paraId="3A57206F" w14:textId="77777777" w:rsidR="009E3682" w:rsidRPr="00935357" w:rsidRDefault="009E3682" w:rsidP="003C4768">
            <w:pPr>
              <w:rPr>
                <w:rFonts w:ascii="Calibri" w:hAnsi="Calibri" w:cs="Calibri"/>
                <w:color w:val="000000"/>
                <w:szCs w:val="24"/>
                <w:lang w:eastAsia="en-GB"/>
              </w:rPr>
            </w:pPr>
            <w:r w:rsidRPr="00935357">
              <w:rPr>
                <w:rFonts w:ascii="Calibri" w:hAnsi="Calibri" w:cs="Arial"/>
                <w:color w:val="000000"/>
                <w:szCs w:val="24"/>
                <w:lang w:eastAsia="en-GB"/>
              </w:rPr>
              <w:t>Age band</w:t>
            </w:r>
          </w:p>
        </w:tc>
        <w:tc>
          <w:tcPr>
            <w:tcW w:w="1616" w:type="dxa"/>
            <w:noWrap/>
            <w:hideMark/>
          </w:tcPr>
          <w:p w14:paraId="3B841379" w14:textId="77777777" w:rsidR="009E3682" w:rsidRPr="00935357" w:rsidRDefault="009E3682" w:rsidP="003C4768">
            <w:pPr>
              <w:rPr>
                <w:rFonts w:ascii="Calibri" w:hAnsi="Calibri" w:cs="Calibri"/>
                <w:color w:val="000000"/>
                <w:szCs w:val="24"/>
                <w:lang w:eastAsia="en-GB"/>
              </w:rPr>
            </w:pPr>
            <w:r w:rsidRPr="00935357">
              <w:rPr>
                <w:rFonts w:ascii="Calibri" w:hAnsi="Calibri" w:cs="Calibri"/>
                <w:color w:val="000000"/>
                <w:szCs w:val="24"/>
                <w:lang w:eastAsia="en-GB"/>
              </w:rPr>
              <w:t>2021 Census population</w:t>
            </w:r>
          </w:p>
        </w:tc>
        <w:tc>
          <w:tcPr>
            <w:tcW w:w="1664" w:type="dxa"/>
            <w:noWrap/>
            <w:hideMark/>
          </w:tcPr>
          <w:p w14:paraId="54EBD7EE" w14:textId="77777777" w:rsidR="009E3682" w:rsidRPr="00935357" w:rsidRDefault="009E3682" w:rsidP="003C4768">
            <w:pPr>
              <w:rPr>
                <w:rFonts w:ascii="Calibri" w:hAnsi="Calibri" w:cs="Calibri"/>
                <w:color w:val="000000"/>
                <w:szCs w:val="24"/>
                <w:lang w:eastAsia="en-GB"/>
              </w:rPr>
            </w:pPr>
            <w:r w:rsidRPr="00935357">
              <w:rPr>
                <w:rFonts w:ascii="Calibri" w:hAnsi="Calibri" w:cs="Calibri"/>
                <w:color w:val="000000"/>
                <w:szCs w:val="24"/>
                <w:lang w:eastAsia="en-GB"/>
              </w:rPr>
              <w:t>Percentage of population</w:t>
            </w:r>
          </w:p>
        </w:tc>
      </w:tr>
      <w:tr w:rsidR="009E3682" w:rsidRPr="00935357" w14:paraId="2706D66F" w14:textId="77777777" w:rsidTr="003C4768">
        <w:trPr>
          <w:trHeight w:val="350"/>
        </w:trPr>
        <w:tc>
          <w:tcPr>
            <w:tcW w:w="1330" w:type="dxa"/>
            <w:noWrap/>
            <w:hideMark/>
          </w:tcPr>
          <w:p w14:paraId="65CC40E6" w14:textId="77777777" w:rsidR="009E3682" w:rsidRPr="00DC081A" w:rsidRDefault="009E3682" w:rsidP="003C4768">
            <w:pPr>
              <w:rPr>
                <w:rFonts w:ascii="Calibri" w:hAnsi="Calibri" w:cs="Calibri"/>
                <w:b/>
                <w:bCs/>
                <w:color w:val="000000"/>
                <w:szCs w:val="24"/>
                <w:lang w:eastAsia="en-GB"/>
              </w:rPr>
            </w:pPr>
            <w:r w:rsidRPr="00DC081A">
              <w:rPr>
                <w:rFonts w:ascii="Calibri" w:hAnsi="Calibri" w:cs="Arial"/>
                <w:b/>
                <w:bCs/>
                <w:color w:val="000000"/>
                <w:szCs w:val="24"/>
                <w:lang w:eastAsia="en-GB"/>
              </w:rPr>
              <w:t>0-14</w:t>
            </w:r>
          </w:p>
        </w:tc>
        <w:tc>
          <w:tcPr>
            <w:tcW w:w="1616" w:type="dxa"/>
            <w:noWrap/>
            <w:hideMark/>
          </w:tcPr>
          <w:p w14:paraId="67E29C2E" w14:textId="77777777" w:rsidR="009E3682" w:rsidRPr="00DC081A" w:rsidRDefault="009E3682" w:rsidP="003C4768">
            <w:pPr>
              <w:jc w:val="right"/>
              <w:rPr>
                <w:rFonts w:ascii="Calibri" w:hAnsi="Calibri" w:cs="Calibri"/>
                <w:b/>
                <w:bCs/>
                <w:color w:val="000000"/>
                <w:szCs w:val="24"/>
                <w:lang w:eastAsia="en-GB"/>
              </w:rPr>
            </w:pPr>
            <w:r w:rsidRPr="00DC081A">
              <w:rPr>
                <w:rFonts w:ascii="Calibri" w:hAnsi="Calibri" w:cs="Calibri"/>
                <w:b/>
                <w:bCs/>
                <w:color w:val="000000"/>
                <w:szCs w:val="24"/>
                <w:lang w:eastAsia="en-GB"/>
              </w:rPr>
              <w:t>365,200</w:t>
            </w:r>
          </w:p>
        </w:tc>
        <w:tc>
          <w:tcPr>
            <w:tcW w:w="1664" w:type="dxa"/>
            <w:noWrap/>
            <w:hideMark/>
          </w:tcPr>
          <w:p w14:paraId="7B8E8EBD" w14:textId="77777777" w:rsidR="009E3682" w:rsidRPr="00DC081A" w:rsidRDefault="009E3682" w:rsidP="003C4768">
            <w:pPr>
              <w:jc w:val="right"/>
              <w:rPr>
                <w:rFonts w:ascii="Calibri" w:hAnsi="Calibri" w:cs="Calibri"/>
                <w:b/>
                <w:bCs/>
                <w:color w:val="000000"/>
                <w:szCs w:val="24"/>
                <w:lang w:eastAsia="en-GB"/>
              </w:rPr>
            </w:pPr>
            <w:r w:rsidRPr="00DC081A">
              <w:rPr>
                <w:rFonts w:ascii="Calibri" w:hAnsi="Calibri" w:cs="Calibri"/>
                <w:b/>
                <w:bCs/>
                <w:color w:val="000000"/>
                <w:szCs w:val="24"/>
                <w:lang w:eastAsia="en-GB"/>
              </w:rPr>
              <w:t>19%</w:t>
            </w:r>
          </w:p>
        </w:tc>
      </w:tr>
      <w:tr w:rsidR="009E3682" w:rsidRPr="00935357" w14:paraId="2B86B18E" w14:textId="77777777" w:rsidTr="003C4768">
        <w:trPr>
          <w:trHeight w:val="350"/>
        </w:trPr>
        <w:tc>
          <w:tcPr>
            <w:tcW w:w="1330" w:type="dxa"/>
            <w:noWrap/>
            <w:hideMark/>
          </w:tcPr>
          <w:p w14:paraId="4C5D17D8" w14:textId="77777777" w:rsidR="009E3682" w:rsidRPr="00935357" w:rsidRDefault="009E3682" w:rsidP="003C4768">
            <w:pPr>
              <w:rPr>
                <w:rFonts w:ascii="Calibri" w:hAnsi="Calibri" w:cs="Calibri"/>
                <w:color w:val="000000"/>
                <w:szCs w:val="24"/>
                <w:lang w:eastAsia="en-GB"/>
              </w:rPr>
            </w:pPr>
            <w:r w:rsidRPr="00935357">
              <w:rPr>
                <w:rFonts w:ascii="Calibri" w:hAnsi="Calibri" w:cs="Arial"/>
                <w:color w:val="000000"/>
                <w:szCs w:val="24"/>
                <w:lang w:eastAsia="en-GB"/>
              </w:rPr>
              <w:t>15-64</w:t>
            </w:r>
          </w:p>
        </w:tc>
        <w:tc>
          <w:tcPr>
            <w:tcW w:w="1616" w:type="dxa"/>
            <w:noWrap/>
            <w:hideMark/>
          </w:tcPr>
          <w:p w14:paraId="2A68AA2A" w14:textId="77777777" w:rsidR="009E3682" w:rsidRPr="00935357" w:rsidRDefault="009E3682" w:rsidP="003C4768">
            <w:pPr>
              <w:jc w:val="right"/>
              <w:rPr>
                <w:rFonts w:ascii="Calibri" w:hAnsi="Calibri" w:cs="Calibri"/>
                <w:color w:val="000000"/>
                <w:szCs w:val="24"/>
                <w:lang w:eastAsia="en-GB"/>
              </w:rPr>
            </w:pPr>
            <w:r w:rsidRPr="00935357">
              <w:rPr>
                <w:rFonts w:ascii="Calibri" w:hAnsi="Calibri" w:cs="Calibri"/>
                <w:color w:val="000000"/>
                <w:szCs w:val="24"/>
                <w:lang w:eastAsia="en-GB"/>
              </w:rPr>
              <w:t>1,211,400</w:t>
            </w:r>
          </w:p>
        </w:tc>
        <w:tc>
          <w:tcPr>
            <w:tcW w:w="1664" w:type="dxa"/>
            <w:noWrap/>
            <w:hideMark/>
          </w:tcPr>
          <w:p w14:paraId="0C54C7EE" w14:textId="77777777" w:rsidR="009E3682" w:rsidRPr="00935357" w:rsidRDefault="009E3682" w:rsidP="003C4768">
            <w:pPr>
              <w:jc w:val="right"/>
              <w:rPr>
                <w:rFonts w:ascii="Calibri" w:hAnsi="Calibri" w:cs="Calibri"/>
                <w:color w:val="000000"/>
                <w:szCs w:val="24"/>
                <w:lang w:eastAsia="en-GB"/>
              </w:rPr>
            </w:pPr>
            <w:r w:rsidRPr="00935357">
              <w:rPr>
                <w:rFonts w:ascii="Calibri" w:hAnsi="Calibri" w:cs="Calibri"/>
                <w:color w:val="000000"/>
                <w:szCs w:val="24"/>
                <w:lang w:eastAsia="en-GB"/>
              </w:rPr>
              <w:t>64%</w:t>
            </w:r>
          </w:p>
        </w:tc>
      </w:tr>
      <w:tr w:rsidR="009E3682" w:rsidRPr="00935357" w14:paraId="677D8A11" w14:textId="77777777" w:rsidTr="003C4768">
        <w:trPr>
          <w:trHeight w:val="350"/>
        </w:trPr>
        <w:tc>
          <w:tcPr>
            <w:tcW w:w="1330" w:type="dxa"/>
            <w:noWrap/>
            <w:hideMark/>
          </w:tcPr>
          <w:p w14:paraId="695661FC" w14:textId="77777777" w:rsidR="009E3682" w:rsidRPr="00DC081A" w:rsidRDefault="009E3682" w:rsidP="003C4768">
            <w:pPr>
              <w:rPr>
                <w:rFonts w:ascii="Calibri" w:hAnsi="Calibri" w:cs="Calibri"/>
                <w:b/>
                <w:bCs/>
                <w:color w:val="000000"/>
                <w:szCs w:val="24"/>
                <w:lang w:eastAsia="en-GB"/>
              </w:rPr>
            </w:pPr>
            <w:r w:rsidRPr="00DC081A">
              <w:rPr>
                <w:rFonts w:ascii="Calibri" w:hAnsi="Calibri" w:cs="Arial"/>
                <w:b/>
                <w:bCs/>
                <w:color w:val="000000"/>
                <w:szCs w:val="24"/>
                <w:lang w:eastAsia="en-GB"/>
              </w:rPr>
              <w:t>15-39</w:t>
            </w:r>
          </w:p>
        </w:tc>
        <w:tc>
          <w:tcPr>
            <w:tcW w:w="1616" w:type="dxa"/>
            <w:noWrap/>
            <w:hideMark/>
          </w:tcPr>
          <w:p w14:paraId="31F9F2BD" w14:textId="77777777" w:rsidR="009E3682" w:rsidRPr="00DC081A" w:rsidRDefault="009E3682" w:rsidP="003C4768">
            <w:pPr>
              <w:jc w:val="right"/>
              <w:rPr>
                <w:rFonts w:ascii="Calibri" w:hAnsi="Calibri" w:cs="Calibri"/>
                <w:b/>
                <w:bCs/>
                <w:color w:val="000000"/>
                <w:szCs w:val="24"/>
                <w:lang w:eastAsia="en-GB"/>
              </w:rPr>
            </w:pPr>
            <w:r w:rsidRPr="00DC081A">
              <w:rPr>
                <w:rFonts w:ascii="Calibri" w:hAnsi="Calibri" w:cs="Calibri"/>
                <w:b/>
                <w:bCs/>
                <w:color w:val="000000"/>
                <w:szCs w:val="24"/>
                <w:lang w:eastAsia="en-GB"/>
              </w:rPr>
              <w:t>594,300</w:t>
            </w:r>
          </w:p>
        </w:tc>
        <w:tc>
          <w:tcPr>
            <w:tcW w:w="1664" w:type="dxa"/>
            <w:noWrap/>
            <w:hideMark/>
          </w:tcPr>
          <w:p w14:paraId="5CE20F9B" w14:textId="77777777" w:rsidR="009E3682" w:rsidRPr="00DC081A" w:rsidRDefault="009E3682" w:rsidP="003C4768">
            <w:pPr>
              <w:jc w:val="right"/>
              <w:rPr>
                <w:rFonts w:ascii="Calibri" w:hAnsi="Calibri" w:cs="Calibri"/>
                <w:b/>
                <w:bCs/>
                <w:color w:val="000000"/>
                <w:szCs w:val="24"/>
                <w:lang w:eastAsia="en-GB"/>
              </w:rPr>
            </w:pPr>
            <w:r w:rsidRPr="00DC081A">
              <w:rPr>
                <w:rFonts w:ascii="Calibri" w:hAnsi="Calibri" w:cs="Calibri"/>
                <w:b/>
                <w:bCs/>
                <w:color w:val="000000"/>
                <w:szCs w:val="24"/>
                <w:lang w:eastAsia="en-GB"/>
              </w:rPr>
              <w:t>31%</w:t>
            </w:r>
          </w:p>
        </w:tc>
      </w:tr>
      <w:tr w:rsidR="009E3682" w:rsidRPr="00935357" w14:paraId="2970BE1D" w14:textId="77777777" w:rsidTr="003C4768">
        <w:trPr>
          <w:trHeight w:val="350"/>
        </w:trPr>
        <w:tc>
          <w:tcPr>
            <w:tcW w:w="1330" w:type="dxa"/>
            <w:noWrap/>
            <w:hideMark/>
          </w:tcPr>
          <w:p w14:paraId="5626A96F" w14:textId="77777777" w:rsidR="009E3682" w:rsidRPr="00DC081A" w:rsidRDefault="009E3682" w:rsidP="003C4768">
            <w:pPr>
              <w:rPr>
                <w:rFonts w:ascii="Calibri" w:hAnsi="Calibri" w:cs="Calibri"/>
                <w:b/>
                <w:bCs/>
                <w:color w:val="000000"/>
                <w:szCs w:val="24"/>
                <w:lang w:eastAsia="en-GB"/>
              </w:rPr>
            </w:pPr>
            <w:r w:rsidRPr="00DC081A">
              <w:rPr>
                <w:rFonts w:ascii="Calibri" w:hAnsi="Calibri" w:cs="Arial"/>
                <w:b/>
                <w:bCs/>
                <w:color w:val="000000"/>
                <w:szCs w:val="24"/>
                <w:lang w:eastAsia="en-GB"/>
              </w:rPr>
              <w:t>40-64</w:t>
            </w:r>
          </w:p>
        </w:tc>
        <w:tc>
          <w:tcPr>
            <w:tcW w:w="1616" w:type="dxa"/>
            <w:noWrap/>
            <w:hideMark/>
          </w:tcPr>
          <w:p w14:paraId="243ED973" w14:textId="77777777" w:rsidR="009E3682" w:rsidRPr="00DC081A" w:rsidRDefault="009E3682" w:rsidP="003C4768">
            <w:pPr>
              <w:jc w:val="right"/>
              <w:rPr>
                <w:rFonts w:ascii="Calibri" w:hAnsi="Calibri" w:cs="Calibri"/>
                <w:b/>
                <w:bCs/>
                <w:color w:val="000000"/>
                <w:szCs w:val="24"/>
                <w:lang w:eastAsia="en-GB"/>
              </w:rPr>
            </w:pPr>
            <w:r w:rsidRPr="00DC081A">
              <w:rPr>
                <w:rFonts w:ascii="Calibri" w:hAnsi="Calibri" w:cs="Calibri"/>
                <w:b/>
                <w:bCs/>
                <w:color w:val="000000"/>
                <w:szCs w:val="24"/>
                <w:lang w:eastAsia="en-GB"/>
              </w:rPr>
              <w:t>617,100</w:t>
            </w:r>
          </w:p>
        </w:tc>
        <w:tc>
          <w:tcPr>
            <w:tcW w:w="1664" w:type="dxa"/>
            <w:noWrap/>
            <w:hideMark/>
          </w:tcPr>
          <w:p w14:paraId="1A28C741" w14:textId="77777777" w:rsidR="009E3682" w:rsidRPr="00DC081A" w:rsidRDefault="009E3682" w:rsidP="003C4768">
            <w:pPr>
              <w:jc w:val="right"/>
              <w:rPr>
                <w:rFonts w:ascii="Calibri" w:hAnsi="Calibri" w:cs="Calibri"/>
                <w:b/>
                <w:bCs/>
                <w:color w:val="000000"/>
                <w:szCs w:val="24"/>
                <w:lang w:eastAsia="en-GB"/>
              </w:rPr>
            </w:pPr>
            <w:r w:rsidRPr="00DC081A">
              <w:rPr>
                <w:rFonts w:ascii="Calibri" w:hAnsi="Calibri" w:cs="Calibri"/>
                <w:b/>
                <w:bCs/>
                <w:color w:val="000000"/>
                <w:szCs w:val="24"/>
                <w:lang w:eastAsia="en-GB"/>
              </w:rPr>
              <w:t>32%</w:t>
            </w:r>
          </w:p>
        </w:tc>
      </w:tr>
      <w:tr w:rsidR="009E3682" w:rsidRPr="00935357" w14:paraId="3A61D570" w14:textId="77777777" w:rsidTr="003C4768">
        <w:trPr>
          <w:trHeight w:val="350"/>
        </w:trPr>
        <w:tc>
          <w:tcPr>
            <w:tcW w:w="1330" w:type="dxa"/>
            <w:noWrap/>
            <w:hideMark/>
          </w:tcPr>
          <w:p w14:paraId="653A2C89" w14:textId="77777777" w:rsidR="009E3682" w:rsidRPr="00DC081A" w:rsidRDefault="009E3682" w:rsidP="003C4768">
            <w:pPr>
              <w:rPr>
                <w:rFonts w:ascii="Calibri" w:hAnsi="Calibri" w:cs="Calibri"/>
                <w:b/>
                <w:bCs/>
                <w:color w:val="000000"/>
                <w:szCs w:val="24"/>
                <w:lang w:eastAsia="en-GB"/>
              </w:rPr>
            </w:pPr>
            <w:r w:rsidRPr="00DC081A">
              <w:rPr>
                <w:rFonts w:ascii="Calibri" w:hAnsi="Calibri" w:cs="Arial"/>
                <w:b/>
                <w:bCs/>
                <w:color w:val="000000"/>
                <w:szCs w:val="24"/>
                <w:lang w:eastAsia="en-GB"/>
              </w:rPr>
              <w:t>65+</w:t>
            </w:r>
          </w:p>
        </w:tc>
        <w:tc>
          <w:tcPr>
            <w:tcW w:w="1616" w:type="dxa"/>
            <w:noWrap/>
            <w:hideMark/>
          </w:tcPr>
          <w:p w14:paraId="03CB60FC" w14:textId="77777777" w:rsidR="009E3682" w:rsidRPr="00DC081A" w:rsidRDefault="009E3682" w:rsidP="003C4768">
            <w:pPr>
              <w:jc w:val="right"/>
              <w:rPr>
                <w:rFonts w:ascii="Calibri" w:hAnsi="Calibri" w:cs="Calibri"/>
                <w:b/>
                <w:bCs/>
                <w:color w:val="000000"/>
                <w:szCs w:val="24"/>
                <w:lang w:eastAsia="en-GB"/>
              </w:rPr>
            </w:pPr>
            <w:r w:rsidRPr="00DC081A">
              <w:rPr>
                <w:rFonts w:ascii="Calibri" w:hAnsi="Calibri" w:cs="Calibri"/>
                <w:b/>
                <w:bCs/>
                <w:color w:val="000000"/>
                <w:szCs w:val="24"/>
                <w:lang w:eastAsia="en-GB"/>
              </w:rPr>
              <w:t>326,500</w:t>
            </w:r>
          </w:p>
        </w:tc>
        <w:tc>
          <w:tcPr>
            <w:tcW w:w="1664" w:type="dxa"/>
            <w:noWrap/>
            <w:hideMark/>
          </w:tcPr>
          <w:p w14:paraId="2C545587" w14:textId="77777777" w:rsidR="009E3682" w:rsidRPr="00DC081A" w:rsidRDefault="009E3682" w:rsidP="003C4768">
            <w:pPr>
              <w:jc w:val="right"/>
              <w:rPr>
                <w:rFonts w:ascii="Calibri" w:hAnsi="Calibri" w:cs="Calibri"/>
                <w:b/>
                <w:bCs/>
                <w:color w:val="000000"/>
                <w:szCs w:val="24"/>
                <w:lang w:eastAsia="en-GB"/>
              </w:rPr>
            </w:pPr>
            <w:r w:rsidRPr="00DC081A">
              <w:rPr>
                <w:rFonts w:ascii="Calibri" w:hAnsi="Calibri" w:cs="Calibri"/>
                <w:b/>
                <w:bCs/>
                <w:color w:val="000000"/>
                <w:szCs w:val="24"/>
                <w:lang w:eastAsia="en-GB"/>
              </w:rPr>
              <w:t>17%</w:t>
            </w:r>
          </w:p>
        </w:tc>
      </w:tr>
      <w:tr w:rsidR="009E3682" w:rsidRPr="00935357" w14:paraId="5B6FB36E" w14:textId="77777777" w:rsidTr="003C4768">
        <w:trPr>
          <w:trHeight w:val="350"/>
        </w:trPr>
        <w:tc>
          <w:tcPr>
            <w:tcW w:w="1330" w:type="dxa"/>
            <w:noWrap/>
            <w:hideMark/>
          </w:tcPr>
          <w:p w14:paraId="564608C5" w14:textId="77777777" w:rsidR="009E3682" w:rsidRPr="00935357" w:rsidRDefault="009E3682" w:rsidP="003C4768">
            <w:pPr>
              <w:rPr>
                <w:rFonts w:ascii="Calibri" w:hAnsi="Calibri" w:cs="Calibri"/>
                <w:color w:val="000000"/>
                <w:szCs w:val="24"/>
                <w:lang w:eastAsia="en-GB"/>
              </w:rPr>
            </w:pPr>
            <w:r w:rsidRPr="00935357">
              <w:rPr>
                <w:rFonts w:ascii="Calibri" w:hAnsi="Calibri" w:cs="Arial"/>
                <w:color w:val="000000"/>
                <w:szCs w:val="24"/>
                <w:lang w:eastAsia="en-GB"/>
              </w:rPr>
              <w:t>65-84</w:t>
            </w:r>
          </w:p>
        </w:tc>
        <w:tc>
          <w:tcPr>
            <w:tcW w:w="1616" w:type="dxa"/>
            <w:noWrap/>
            <w:hideMark/>
          </w:tcPr>
          <w:p w14:paraId="57CB5AA9" w14:textId="77777777" w:rsidR="009E3682" w:rsidRPr="00935357" w:rsidRDefault="009E3682" w:rsidP="003C4768">
            <w:pPr>
              <w:jc w:val="right"/>
              <w:rPr>
                <w:rFonts w:ascii="Calibri" w:hAnsi="Calibri" w:cs="Calibri"/>
                <w:color w:val="000000"/>
                <w:szCs w:val="24"/>
                <w:lang w:eastAsia="en-GB"/>
              </w:rPr>
            </w:pPr>
            <w:r w:rsidRPr="00935357">
              <w:rPr>
                <w:rFonts w:ascii="Calibri" w:hAnsi="Calibri" w:cs="Calibri"/>
                <w:color w:val="000000"/>
                <w:szCs w:val="24"/>
                <w:lang w:eastAsia="en-GB"/>
              </w:rPr>
              <w:t>287,200</w:t>
            </w:r>
          </w:p>
        </w:tc>
        <w:tc>
          <w:tcPr>
            <w:tcW w:w="1664" w:type="dxa"/>
            <w:noWrap/>
            <w:hideMark/>
          </w:tcPr>
          <w:p w14:paraId="2F61F138" w14:textId="77777777" w:rsidR="009E3682" w:rsidRPr="00935357" w:rsidRDefault="009E3682" w:rsidP="003C4768">
            <w:pPr>
              <w:jc w:val="right"/>
              <w:rPr>
                <w:rFonts w:ascii="Calibri" w:hAnsi="Calibri" w:cs="Calibri"/>
                <w:color w:val="000000"/>
                <w:szCs w:val="24"/>
                <w:lang w:eastAsia="en-GB"/>
              </w:rPr>
            </w:pPr>
            <w:r w:rsidRPr="00935357">
              <w:rPr>
                <w:rFonts w:ascii="Calibri" w:hAnsi="Calibri" w:cs="Calibri"/>
                <w:color w:val="000000"/>
                <w:szCs w:val="24"/>
                <w:lang w:eastAsia="en-GB"/>
              </w:rPr>
              <w:t>15%</w:t>
            </w:r>
          </w:p>
        </w:tc>
      </w:tr>
      <w:tr w:rsidR="009E3682" w:rsidRPr="00935357" w14:paraId="718E6918" w14:textId="77777777" w:rsidTr="003C4768">
        <w:trPr>
          <w:trHeight w:val="350"/>
        </w:trPr>
        <w:tc>
          <w:tcPr>
            <w:tcW w:w="1330" w:type="dxa"/>
            <w:noWrap/>
            <w:hideMark/>
          </w:tcPr>
          <w:p w14:paraId="674364BE" w14:textId="77777777" w:rsidR="009E3682" w:rsidRPr="00935357" w:rsidRDefault="009E3682" w:rsidP="003C4768">
            <w:pPr>
              <w:rPr>
                <w:rFonts w:ascii="Calibri" w:hAnsi="Calibri" w:cs="Calibri"/>
                <w:color w:val="000000"/>
                <w:szCs w:val="24"/>
                <w:lang w:eastAsia="en-GB"/>
              </w:rPr>
            </w:pPr>
            <w:r w:rsidRPr="00935357">
              <w:rPr>
                <w:rFonts w:ascii="Calibri" w:hAnsi="Calibri" w:cs="Arial"/>
                <w:color w:val="000000"/>
                <w:szCs w:val="24"/>
                <w:lang w:eastAsia="en-GB"/>
              </w:rPr>
              <w:t>85+</w:t>
            </w:r>
          </w:p>
        </w:tc>
        <w:tc>
          <w:tcPr>
            <w:tcW w:w="1616" w:type="dxa"/>
            <w:noWrap/>
            <w:hideMark/>
          </w:tcPr>
          <w:p w14:paraId="1F7CA870" w14:textId="77777777" w:rsidR="009E3682" w:rsidRPr="00935357" w:rsidRDefault="009E3682" w:rsidP="003C4768">
            <w:pPr>
              <w:jc w:val="right"/>
              <w:rPr>
                <w:rFonts w:ascii="Calibri" w:hAnsi="Calibri" w:cs="Calibri"/>
                <w:color w:val="000000"/>
                <w:szCs w:val="24"/>
                <w:lang w:eastAsia="en-GB"/>
              </w:rPr>
            </w:pPr>
            <w:r w:rsidRPr="00935357">
              <w:rPr>
                <w:rFonts w:ascii="Calibri" w:hAnsi="Calibri" w:cs="Calibri"/>
                <w:color w:val="000000"/>
                <w:szCs w:val="24"/>
                <w:lang w:eastAsia="en-GB"/>
              </w:rPr>
              <w:t>39,400</w:t>
            </w:r>
          </w:p>
        </w:tc>
        <w:tc>
          <w:tcPr>
            <w:tcW w:w="1664" w:type="dxa"/>
            <w:noWrap/>
            <w:hideMark/>
          </w:tcPr>
          <w:p w14:paraId="0C569B3F" w14:textId="77777777" w:rsidR="009E3682" w:rsidRPr="00935357" w:rsidRDefault="009E3682" w:rsidP="003C4768">
            <w:pPr>
              <w:jc w:val="right"/>
              <w:rPr>
                <w:rFonts w:ascii="Calibri" w:hAnsi="Calibri" w:cs="Calibri"/>
                <w:color w:val="000000"/>
                <w:szCs w:val="24"/>
                <w:lang w:eastAsia="en-GB"/>
              </w:rPr>
            </w:pPr>
            <w:r w:rsidRPr="00935357">
              <w:rPr>
                <w:rFonts w:ascii="Calibri" w:hAnsi="Calibri" w:cs="Calibri"/>
                <w:color w:val="000000"/>
                <w:szCs w:val="24"/>
                <w:lang w:eastAsia="en-GB"/>
              </w:rPr>
              <w:t>2%</w:t>
            </w:r>
          </w:p>
        </w:tc>
      </w:tr>
      <w:tr w:rsidR="009E3682" w:rsidRPr="00935357" w14:paraId="5A60F0D5" w14:textId="77777777" w:rsidTr="003C4768">
        <w:trPr>
          <w:trHeight w:val="350"/>
        </w:trPr>
        <w:tc>
          <w:tcPr>
            <w:tcW w:w="1330" w:type="dxa"/>
            <w:noWrap/>
            <w:hideMark/>
          </w:tcPr>
          <w:p w14:paraId="7F62BA2C" w14:textId="77777777" w:rsidR="009E3682" w:rsidRPr="00DC081A" w:rsidRDefault="009E3682" w:rsidP="003C4768">
            <w:pPr>
              <w:rPr>
                <w:rFonts w:ascii="Calibri" w:hAnsi="Calibri" w:cs="Calibri"/>
                <w:b/>
                <w:bCs/>
                <w:color w:val="000000"/>
                <w:szCs w:val="24"/>
                <w:lang w:eastAsia="en-GB"/>
              </w:rPr>
            </w:pPr>
            <w:r w:rsidRPr="00DC081A">
              <w:rPr>
                <w:rFonts w:ascii="Calibri" w:hAnsi="Calibri" w:cs="Calibri"/>
                <w:b/>
                <w:bCs/>
                <w:color w:val="000000"/>
                <w:szCs w:val="24"/>
                <w:lang w:eastAsia="en-GB"/>
              </w:rPr>
              <w:t>All ages</w:t>
            </w:r>
          </w:p>
        </w:tc>
        <w:tc>
          <w:tcPr>
            <w:tcW w:w="1616" w:type="dxa"/>
            <w:noWrap/>
            <w:hideMark/>
          </w:tcPr>
          <w:p w14:paraId="098D1EF3" w14:textId="77777777" w:rsidR="009E3682" w:rsidRPr="00DC081A" w:rsidRDefault="009E3682" w:rsidP="003C4768">
            <w:pPr>
              <w:jc w:val="right"/>
              <w:rPr>
                <w:rFonts w:ascii="Calibri" w:hAnsi="Calibri" w:cs="Calibri"/>
                <w:b/>
                <w:bCs/>
                <w:color w:val="000000"/>
                <w:szCs w:val="24"/>
                <w:lang w:eastAsia="en-GB"/>
              </w:rPr>
            </w:pPr>
            <w:r w:rsidRPr="00DC081A">
              <w:rPr>
                <w:rFonts w:ascii="Calibri" w:hAnsi="Calibri" w:cs="Calibri"/>
                <w:b/>
                <w:bCs/>
                <w:color w:val="000000"/>
                <w:szCs w:val="24"/>
                <w:lang w:eastAsia="en-GB"/>
              </w:rPr>
              <w:t>1,903,100</w:t>
            </w:r>
          </w:p>
        </w:tc>
        <w:tc>
          <w:tcPr>
            <w:tcW w:w="1664" w:type="dxa"/>
            <w:noWrap/>
            <w:hideMark/>
          </w:tcPr>
          <w:p w14:paraId="05E91896" w14:textId="77777777" w:rsidR="009E3682" w:rsidRPr="00DC081A" w:rsidRDefault="009E3682" w:rsidP="003C4768">
            <w:pPr>
              <w:jc w:val="right"/>
              <w:rPr>
                <w:rFonts w:ascii="Calibri" w:hAnsi="Calibri" w:cs="Calibri"/>
                <w:b/>
                <w:bCs/>
                <w:color w:val="000000"/>
                <w:szCs w:val="24"/>
                <w:lang w:eastAsia="en-GB"/>
              </w:rPr>
            </w:pPr>
            <w:r w:rsidRPr="00DC081A">
              <w:rPr>
                <w:rFonts w:ascii="Calibri" w:hAnsi="Calibri" w:cs="Calibri"/>
                <w:b/>
                <w:bCs/>
                <w:color w:val="000000"/>
                <w:szCs w:val="24"/>
                <w:lang w:eastAsia="en-GB"/>
              </w:rPr>
              <w:t>100%</w:t>
            </w:r>
          </w:p>
        </w:tc>
      </w:tr>
    </w:tbl>
    <w:p w14:paraId="44A29828" w14:textId="77777777" w:rsidR="00B92E4E" w:rsidRDefault="00B92E4E" w:rsidP="00B92E4E">
      <w:pPr>
        <w:rPr>
          <w:rFonts w:cs="Arial"/>
          <w:sz w:val="28"/>
          <w:szCs w:val="28"/>
        </w:rPr>
      </w:pPr>
    </w:p>
    <w:p w14:paraId="06941744" w14:textId="77777777" w:rsidR="009147C0" w:rsidRPr="00B92E4E" w:rsidRDefault="009147C0" w:rsidP="00B92E4E">
      <w:pPr>
        <w:rPr>
          <w:rFonts w:cs="Arial"/>
          <w:sz w:val="28"/>
          <w:szCs w:val="28"/>
        </w:rPr>
      </w:pPr>
    </w:p>
    <w:p w14:paraId="4497275C" w14:textId="77777777" w:rsidR="00E516EB"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14:paraId="6244E072" w14:textId="790F6AF1" w:rsidR="00D5093C" w:rsidRDefault="00B92E4E" w:rsidP="000A472F">
      <w:pPr>
        <w:jc w:val="both"/>
        <w:rPr>
          <w:rFonts w:cs="Arial"/>
          <w:sz w:val="28"/>
          <w:szCs w:val="28"/>
        </w:rPr>
      </w:pPr>
      <w:r w:rsidRPr="00B92E4E">
        <w:rPr>
          <w:rFonts w:cs="Arial"/>
          <w:sz w:val="28"/>
          <w:szCs w:val="28"/>
        </w:rPr>
        <w:br w:type="textWrapping" w:clear="all"/>
      </w:r>
      <w:r w:rsidR="008D3CF2">
        <w:rPr>
          <w:rFonts w:cs="Arial"/>
          <w:sz w:val="28"/>
          <w:szCs w:val="28"/>
        </w:rPr>
        <w:t>Census 2021 shows that people m</w:t>
      </w:r>
      <w:r w:rsidR="008367C3">
        <w:rPr>
          <w:rFonts w:cs="Arial"/>
          <w:sz w:val="28"/>
          <w:szCs w:val="28"/>
        </w:rPr>
        <w:t xml:space="preserve">arried or </w:t>
      </w:r>
      <w:r w:rsidR="008D3CF2">
        <w:rPr>
          <w:rFonts w:cs="Arial"/>
          <w:sz w:val="28"/>
          <w:szCs w:val="28"/>
        </w:rPr>
        <w:t xml:space="preserve">in </w:t>
      </w:r>
      <w:r w:rsidR="008367C3">
        <w:rPr>
          <w:rFonts w:cs="Arial"/>
          <w:sz w:val="28"/>
          <w:szCs w:val="28"/>
        </w:rPr>
        <w:t>civil partnership</w:t>
      </w:r>
      <w:r w:rsidR="008D3CF2">
        <w:rPr>
          <w:rFonts w:cs="Arial"/>
          <w:sz w:val="28"/>
          <w:szCs w:val="28"/>
        </w:rPr>
        <w:t>s</w:t>
      </w:r>
      <w:r w:rsidR="008367C3">
        <w:rPr>
          <w:rFonts w:cs="Arial"/>
          <w:sz w:val="28"/>
          <w:szCs w:val="28"/>
        </w:rPr>
        <w:t xml:space="preserve"> (opposite sex) </w:t>
      </w:r>
      <w:r w:rsidR="008D3CF2">
        <w:rPr>
          <w:rFonts w:cs="Arial"/>
          <w:sz w:val="28"/>
          <w:szCs w:val="28"/>
        </w:rPr>
        <w:lastRenderedPageBreak/>
        <w:t xml:space="preserve">represent </w:t>
      </w:r>
      <w:r w:rsidR="00B66AA5">
        <w:rPr>
          <w:rFonts w:cs="Arial"/>
          <w:sz w:val="28"/>
          <w:szCs w:val="28"/>
        </w:rPr>
        <w:t>44.9%</w:t>
      </w:r>
      <w:r w:rsidR="008D3CF2">
        <w:rPr>
          <w:rFonts w:cs="Arial"/>
          <w:sz w:val="28"/>
          <w:szCs w:val="28"/>
        </w:rPr>
        <w:t xml:space="preserve"> of the population, with people m</w:t>
      </w:r>
      <w:r w:rsidR="00D5093C">
        <w:rPr>
          <w:rFonts w:cs="Arial"/>
          <w:sz w:val="28"/>
          <w:szCs w:val="28"/>
        </w:rPr>
        <w:t xml:space="preserve">arried or </w:t>
      </w:r>
      <w:r w:rsidR="008D3CF2">
        <w:rPr>
          <w:rFonts w:cs="Arial"/>
          <w:sz w:val="28"/>
          <w:szCs w:val="28"/>
        </w:rPr>
        <w:t xml:space="preserve">in </w:t>
      </w:r>
      <w:r w:rsidR="00D5093C">
        <w:rPr>
          <w:rFonts w:cs="Arial"/>
          <w:sz w:val="28"/>
          <w:szCs w:val="28"/>
        </w:rPr>
        <w:t>civil partnership</w:t>
      </w:r>
      <w:r w:rsidR="008D3CF2">
        <w:rPr>
          <w:rFonts w:cs="Arial"/>
          <w:sz w:val="28"/>
          <w:szCs w:val="28"/>
        </w:rPr>
        <w:t>s</w:t>
      </w:r>
      <w:r w:rsidR="00D5093C">
        <w:rPr>
          <w:rFonts w:cs="Arial"/>
          <w:sz w:val="28"/>
          <w:szCs w:val="28"/>
        </w:rPr>
        <w:t xml:space="preserve"> (same sex) </w:t>
      </w:r>
      <w:r w:rsidR="008D3CF2">
        <w:rPr>
          <w:rFonts w:cs="Arial"/>
          <w:sz w:val="28"/>
          <w:szCs w:val="28"/>
        </w:rPr>
        <w:t>at</w:t>
      </w:r>
      <w:r w:rsidR="00D5093C">
        <w:rPr>
          <w:rFonts w:cs="Arial"/>
          <w:sz w:val="28"/>
          <w:szCs w:val="28"/>
        </w:rPr>
        <w:t xml:space="preserve"> 0.</w:t>
      </w:r>
      <w:r w:rsidR="000D26EF">
        <w:rPr>
          <w:rFonts w:cs="Arial"/>
          <w:sz w:val="28"/>
          <w:szCs w:val="28"/>
        </w:rPr>
        <w:t>3</w:t>
      </w:r>
      <w:r w:rsidR="00D5093C">
        <w:rPr>
          <w:rFonts w:cs="Arial"/>
          <w:sz w:val="28"/>
          <w:szCs w:val="28"/>
        </w:rPr>
        <w:t>%</w:t>
      </w:r>
      <w:r w:rsidR="008D3CF2">
        <w:rPr>
          <w:rFonts w:cs="Arial"/>
          <w:sz w:val="28"/>
          <w:szCs w:val="28"/>
        </w:rPr>
        <w:t>.</w:t>
      </w:r>
    </w:p>
    <w:p w14:paraId="4A4413E7" w14:textId="77777777" w:rsidR="008D3CF2" w:rsidRDefault="008D3CF2" w:rsidP="000A472F">
      <w:pPr>
        <w:jc w:val="both"/>
        <w:rPr>
          <w:rFonts w:cs="Arial"/>
          <w:sz w:val="28"/>
          <w:szCs w:val="28"/>
        </w:rPr>
      </w:pPr>
    </w:p>
    <w:p w14:paraId="44B8740F" w14:textId="5A0B0784" w:rsidR="000D26EF" w:rsidRDefault="008D3CF2" w:rsidP="000A472F">
      <w:pPr>
        <w:pBdr>
          <w:bottom w:val="single" w:sz="12" w:space="17" w:color="auto"/>
        </w:pBdr>
        <w:jc w:val="both"/>
        <w:rPr>
          <w:rFonts w:cs="Arial"/>
          <w:sz w:val="28"/>
          <w:szCs w:val="28"/>
        </w:rPr>
      </w:pPr>
      <w:r>
        <w:rPr>
          <w:rFonts w:cs="Arial"/>
          <w:sz w:val="28"/>
          <w:szCs w:val="28"/>
        </w:rPr>
        <w:t>Those n</w:t>
      </w:r>
      <w:r w:rsidR="008F69D2">
        <w:rPr>
          <w:rFonts w:cs="Arial"/>
          <w:sz w:val="28"/>
          <w:szCs w:val="28"/>
        </w:rPr>
        <w:t>ot living in a couple</w:t>
      </w:r>
      <w:r w:rsidR="007D158E">
        <w:rPr>
          <w:rFonts w:cs="Arial"/>
          <w:sz w:val="28"/>
          <w:szCs w:val="28"/>
        </w:rPr>
        <w:t xml:space="preserve"> (</w:t>
      </w:r>
      <w:r w:rsidR="00B77B8D">
        <w:rPr>
          <w:rFonts w:cs="Arial"/>
          <w:sz w:val="28"/>
          <w:szCs w:val="28"/>
        </w:rPr>
        <w:t xml:space="preserve">including </w:t>
      </w:r>
      <w:r w:rsidR="007D158E">
        <w:rPr>
          <w:rFonts w:cs="Arial"/>
          <w:sz w:val="28"/>
          <w:szCs w:val="28"/>
        </w:rPr>
        <w:t>single, married, separated, divorced, widowed)</w:t>
      </w:r>
      <w:r w:rsidR="006E3A10">
        <w:rPr>
          <w:rFonts w:cs="Arial"/>
          <w:sz w:val="28"/>
          <w:szCs w:val="28"/>
        </w:rPr>
        <w:t xml:space="preserve"> </w:t>
      </w:r>
      <w:r>
        <w:rPr>
          <w:rFonts w:cs="Arial"/>
          <w:sz w:val="28"/>
          <w:szCs w:val="28"/>
        </w:rPr>
        <w:t>represent</w:t>
      </w:r>
      <w:r w:rsidR="005D730E">
        <w:rPr>
          <w:rFonts w:cs="Arial"/>
          <w:sz w:val="28"/>
          <w:szCs w:val="28"/>
        </w:rPr>
        <w:t xml:space="preserve"> </w:t>
      </w:r>
      <w:r w:rsidR="00A32FF1">
        <w:rPr>
          <w:rFonts w:cs="Arial"/>
          <w:sz w:val="28"/>
          <w:szCs w:val="28"/>
        </w:rPr>
        <w:t>46.6</w:t>
      </w:r>
      <w:r w:rsidR="000D26EF">
        <w:rPr>
          <w:rFonts w:cs="Arial"/>
          <w:sz w:val="28"/>
          <w:szCs w:val="28"/>
        </w:rPr>
        <w:t>%</w:t>
      </w:r>
      <w:r w:rsidR="00B77B8D">
        <w:rPr>
          <w:rFonts w:cs="Arial"/>
          <w:sz w:val="28"/>
          <w:szCs w:val="28"/>
        </w:rPr>
        <w:t xml:space="preserve"> </w:t>
      </w:r>
      <w:r>
        <w:rPr>
          <w:rFonts w:cs="Arial"/>
          <w:sz w:val="28"/>
          <w:szCs w:val="28"/>
        </w:rPr>
        <w:t xml:space="preserve">of the population.  </w:t>
      </w:r>
      <w:r w:rsidR="00B77B8D">
        <w:rPr>
          <w:rFonts w:cs="Arial"/>
          <w:sz w:val="28"/>
          <w:szCs w:val="28"/>
        </w:rPr>
        <w:t>Single people alone are 31.4% of the population</w:t>
      </w:r>
      <w:r w:rsidR="00BA3E06">
        <w:rPr>
          <w:rStyle w:val="FootnoteReference"/>
          <w:rFonts w:cs="Arial"/>
          <w:sz w:val="28"/>
          <w:szCs w:val="28"/>
        </w:rPr>
        <w:footnoteReference w:id="8"/>
      </w:r>
      <w:r w:rsidR="00B77B8D">
        <w:rPr>
          <w:rFonts w:cs="Arial"/>
          <w:sz w:val="28"/>
          <w:szCs w:val="28"/>
        </w:rPr>
        <w:t xml:space="preserve">.  </w:t>
      </w:r>
    </w:p>
    <w:p w14:paraId="427D6923" w14:textId="77777777" w:rsidR="00E516EB" w:rsidRDefault="00E516EB" w:rsidP="00B92E4E">
      <w:pPr>
        <w:rPr>
          <w:rFonts w:cs="Arial"/>
          <w:b/>
          <w:sz w:val="28"/>
          <w:szCs w:val="28"/>
        </w:rPr>
      </w:pPr>
    </w:p>
    <w:p w14:paraId="7163898C" w14:textId="77777777" w:rsidR="00E516EB"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evidence / information:</w:t>
      </w:r>
    </w:p>
    <w:p w14:paraId="394E9615" w14:textId="77777777" w:rsidR="00E516EB" w:rsidRDefault="00E516EB" w:rsidP="00B92E4E">
      <w:pPr>
        <w:rPr>
          <w:rFonts w:cs="Arial"/>
          <w:sz w:val="28"/>
          <w:szCs w:val="28"/>
        </w:rPr>
      </w:pPr>
    </w:p>
    <w:p w14:paraId="294DE530" w14:textId="77777777" w:rsidR="007343CF" w:rsidRDefault="007343CF" w:rsidP="000A472F">
      <w:pPr>
        <w:jc w:val="both"/>
        <w:rPr>
          <w:sz w:val="28"/>
          <w:szCs w:val="28"/>
        </w:rPr>
      </w:pPr>
      <w:r w:rsidRPr="007343CF">
        <w:rPr>
          <w:sz w:val="28"/>
          <w:szCs w:val="28"/>
        </w:rPr>
        <w:t>A new question for Census 2021 on sexual orientation was asked of people aged 16 and over. While completing the census is required by law, the question on sexual orientation had no statutory penalty for those who failed to provide an answer.</w:t>
      </w:r>
    </w:p>
    <w:p w14:paraId="692823B1" w14:textId="3158D9B9" w:rsidR="000A472F" w:rsidRDefault="007343CF" w:rsidP="000A472F">
      <w:pPr>
        <w:jc w:val="both"/>
        <w:rPr>
          <w:rFonts w:cs="Arial"/>
          <w:sz w:val="28"/>
          <w:szCs w:val="28"/>
        </w:rPr>
      </w:pPr>
      <w:r>
        <w:rPr>
          <w:rFonts w:cs="Arial"/>
          <w:sz w:val="28"/>
          <w:szCs w:val="28"/>
        </w:rPr>
        <w:t>T</w:t>
      </w:r>
      <w:r w:rsidR="008239F1" w:rsidRPr="007343CF">
        <w:rPr>
          <w:rFonts w:cs="Arial"/>
          <w:sz w:val="28"/>
          <w:szCs w:val="28"/>
        </w:rPr>
        <w:t>he</w:t>
      </w:r>
      <w:r w:rsidR="008239F1">
        <w:rPr>
          <w:rFonts w:cs="Arial"/>
          <w:sz w:val="28"/>
          <w:szCs w:val="28"/>
        </w:rPr>
        <w:t xml:space="preserve"> percentage </w:t>
      </w:r>
      <w:r w:rsidR="008D3CF2">
        <w:rPr>
          <w:rFonts w:cs="Arial"/>
          <w:sz w:val="28"/>
          <w:szCs w:val="28"/>
        </w:rPr>
        <w:t>of the population age</w:t>
      </w:r>
      <w:r>
        <w:rPr>
          <w:rFonts w:cs="Arial"/>
          <w:sz w:val="28"/>
          <w:szCs w:val="28"/>
        </w:rPr>
        <w:t>d</w:t>
      </w:r>
      <w:r w:rsidR="008D3CF2">
        <w:rPr>
          <w:rFonts w:cs="Arial"/>
          <w:sz w:val="28"/>
          <w:szCs w:val="28"/>
        </w:rPr>
        <w:t xml:space="preserve"> 16 or over and </w:t>
      </w:r>
      <w:r w:rsidR="008239F1">
        <w:rPr>
          <w:rFonts w:cs="Arial"/>
          <w:sz w:val="28"/>
          <w:szCs w:val="28"/>
        </w:rPr>
        <w:t xml:space="preserve">identifying as straight or heterosexual was 90%, with </w:t>
      </w:r>
      <w:r w:rsidR="00CA7316">
        <w:rPr>
          <w:rFonts w:cs="Arial"/>
          <w:sz w:val="28"/>
          <w:szCs w:val="28"/>
        </w:rPr>
        <w:t xml:space="preserve">2.1% identifying as gay, lesbian, bisexual or </w:t>
      </w:r>
      <w:r w:rsidR="00887A1A">
        <w:rPr>
          <w:rFonts w:cs="Arial"/>
          <w:sz w:val="28"/>
          <w:szCs w:val="28"/>
        </w:rPr>
        <w:t>other sexual orientation</w:t>
      </w:r>
      <w:r w:rsidR="008239F1">
        <w:rPr>
          <w:rFonts w:cs="Arial"/>
          <w:sz w:val="28"/>
          <w:szCs w:val="28"/>
        </w:rPr>
        <w:t>.</w:t>
      </w:r>
      <w:r w:rsidR="00887A1A">
        <w:rPr>
          <w:rFonts w:cs="Arial"/>
          <w:sz w:val="28"/>
          <w:szCs w:val="28"/>
        </w:rPr>
        <w:t xml:space="preserve">  </w:t>
      </w:r>
    </w:p>
    <w:p w14:paraId="29DE0A69" w14:textId="77777777" w:rsidR="004B7F75" w:rsidRDefault="004B7F75" w:rsidP="000A472F">
      <w:pPr>
        <w:jc w:val="both"/>
        <w:rPr>
          <w:rFonts w:cs="Arial"/>
          <w:sz w:val="28"/>
          <w:szCs w:val="28"/>
        </w:rPr>
      </w:pPr>
    </w:p>
    <w:p w14:paraId="361B0059" w14:textId="0189BEA8" w:rsidR="00B92E4E" w:rsidRDefault="00887A1A" w:rsidP="000A472F">
      <w:pPr>
        <w:jc w:val="both"/>
      </w:pPr>
      <w:r>
        <w:rPr>
          <w:rFonts w:cs="Arial"/>
          <w:sz w:val="28"/>
          <w:szCs w:val="28"/>
        </w:rPr>
        <w:t>A further 7.9%</w:t>
      </w:r>
      <w:r w:rsidR="007343CF" w:rsidRPr="007343CF">
        <w:rPr>
          <w:sz w:val="28"/>
          <w:szCs w:val="28"/>
        </w:rPr>
        <w:t xml:space="preserve"> either ticked ‘prefer not to say’ or chose not to answer the question. Taken together, these </w:t>
      </w:r>
      <w:r w:rsidR="007343CF">
        <w:rPr>
          <w:sz w:val="28"/>
          <w:szCs w:val="28"/>
        </w:rPr>
        <w:t>were</w:t>
      </w:r>
      <w:r w:rsidR="007343CF" w:rsidRPr="007343CF">
        <w:rPr>
          <w:sz w:val="28"/>
          <w:szCs w:val="28"/>
        </w:rPr>
        <w:t xml:space="preserve"> labelled ‘No sexual orientation stated’ in this report</w:t>
      </w:r>
      <w:r w:rsidR="007343CF">
        <w:t>.</w:t>
      </w:r>
      <w:r>
        <w:rPr>
          <w:rStyle w:val="FootnoteReference"/>
          <w:rFonts w:cs="Arial"/>
          <w:sz w:val="28"/>
          <w:szCs w:val="28"/>
        </w:rPr>
        <w:footnoteReference w:id="9"/>
      </w:r>
      <w:r w:rsidR="008239F1">
        <w:rPr>
          <w:rFonts w:cs="Arial"/>
          <w:sz w:val="28"/>
          <w:szCs w:val="28"/>
        </w:rPr>
        <w:t xml:space="preserve">  </w:t>
      </w:r>
      <w:r w:rsidR="00B92E4E" w:rsidRPr="00B92E4E">
        <w:rPr>
          <w:rFonts w:cs="Arial"/>
          <w:sz w:val="28"/>
          <w:szCs w:val="28"/>
        </w:rPr>
        <w:br w:type="textWrapping" w:clear="all"/>
      </w:r>
    </w:p>
    <w:p w14:paraId="3AF498C9" w14:textId="2DBA6757" w:rsidR="007343CF" w:rsidRPr="007343CF" w:rsidRDefault="007343CF" w:rsidP="000A472F">
      <w:pPr>
        <w:jc w:val="both"/>
        <w:rPr>
          <w:sz w:val="28"/>
          <w:szCs w:val="28"/>
        </w:rPr>
      </w:pPr>
      <w:r w:rsidRPr="007343CF">
        <w:rPr>
          <w:sz w:val="28"/>
          <w:szCs w:val="28"/>
        </w:rPr>
        <w:t>Across England, Wales and Northern Ireland, Northern Ireland (2.1%) has the lowest percentage of people who identify as (LGB+), thereafter comes Wales with 3.0% of people who identify as LGB+ and then England with 3.2%</w:t>
      </w:r>
      <w:r>
        <w:rPr>
          <w:rStyle w:val="FootnoteReference"/>
          <w:sz w:val="28"/>
          <w:szCs w:val="28"/>
        </w:rPr>
        <w:footnoteReference w:id="10"/>
      </w:r>
      <w:r w:rsidRPr="007343CF">
        <w:rPr>
          <w:sz w:val="28"/>
          <w:szCs w:val="28"/>
        </w:rPr>
        <w:t>.</w:t>
      </w:r>
    </w:p>
    <w:p w14:paraId="44E936FD" w14:textId="77777777" w:rsidR="00B92E4E" w:rsidRDefault="00B92E4E" w:rsidP="00B92E4E">
      <w:pPr>
        <w:rPr>
          <w:rFonts w:cs="Arial"/>
          <w:sz w:val="28"/>
          <w:szCs w:val="28"/>
        </w:rPr>
      </w:pPr>
    </w:p>
    <w:p w14:paraId="3E52A920" w14:textId="77777777" w:rsidR="007343CF" w:rsidRPr="00B92E4E" w:rsidRDefault="007343CF" w:rsidP="00B92E4E">
      <w:pPr>
        <w:rPr>
          <w:rFonts w:cs="Arial"/>
          <w:sz w:val="28"/>
          <w:szCs w:val="28"/>
        </w:rPr>
      </w:pPr>
    </w:p>
    <w:p w14:paraId="0F726217" w14:textId="77777777" w:rsidR="00784A8E" w:rsidRDefault="00B92E4E" w:rsidP="00784A8E">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14:paraId="2D7DE6F3" w14:textId="0589B85C" w:rsidR="00784A8E" w:rsidRDefault="00B92E4E" w:rsidP="004B7F75">
      <w:pPr>
        <w:jc w:val="both"/>
        <w:rPr>
          <w:rFonts w:cs="Arial"/>
          <w:sz w:val="28"/>
          <w:szCs w:val="28"/>
        </w:rPr>
      </w:pPr>
      <w:r w:rsidRPr="00B92E4E">
        <w:rPr>
          <w:rFonts w:cs="Arial"/>
          <w:sz w:val="28"/>
          <w:szCs w:val="28"/>
        </w:rPr>
        <w:br w:type="textWrapping" w:clear="all"/>
      </w:r>
      <w:r w:rsidR="00784A8E" w:rsidRPr="006677E2">
        <w:rPr>
          <w:rFonts w:cs="Arial"/>
          <w:sz w:val="28"/>
          <w:szCs w:val="28"/>
        </w:rPr>
        <w:t>The census day population comprised of 967,000 females and 936,100 males</w:t>
      </w:r>
      <w:r w:rsidR="00784A8E">
        <w:rPr>
          <w:rFonts w:cs="Arial"/>
          <w:sz w:val="28"/>
          <w:szCs w:val="28"/>
        </w:rPr>
        <w:t>.</w:t>
      </w:r>
      <w:r w:rsidR="00784A8E">
        <w:rPr>
          <w:rStyle w:val="FootnoteReference"/>
          <w:rFonts w:cs="Arial"/>
          <w:sz w:val="28"/>
          <w:szCs w:val="28"/>
        </w:rPr>
        <w:footnoteReference w:id="11"/>
      </w:r>
    </w:p>
    <w:p w14:paraId="5211BE56" w14:textId="77777777" w:rsidR="00784A8E" w:rsidRDefault="00784A8E" w:rsidP="004B7F75">
      <w:pPr>
        <w:jc w:val="both"/>
        <w:rPr>
          <w:rFonts w:cs="Arial"/>
          <w:sz w:val="28"/>
          <w:szCs w:val="28"/>
        </w:rPr>
      </w:pPr>
    </w:p>
    <w:p w14:paraId="0DBFBCB7" w14:textId="06F05FB9" w:rsidR="00784A8E" w:rsidRDefault="00784A8E" w:rsidP="004B7F75">
      <w:pPr>
        <w:jc w:val="both"/>
        <w:rPr>
          <w:rFonts w:cs="Arial"/>
          <w:sz w:val="28"/>
          <w:szCs w:val="28"/>
        </w:rPr>
      </w:pPr>
      <w:r>
        <w:rPr>
          <w:rFonts w:cs="Arial"/>
          <w:sz w:val="28"/>
          <w:szCs w:val="28"/>
        </w:rPr>
        <w:t>In 202</w:t>
      </w:r>
      <w:r w:rsidR="00EE361C">
        <w:rPr>
          <w:rFonts w:cs="Arial"/>
          <w:sz w:val="28"/>
          <w:szCs w:val="28"/>
        </w:rPr>
        <w:t>1</w:t>
      </w:r>
      <w:r>
        <w:rPr>
          <w:rFonts w:cs="Arial"/>
          <w:sz w:val="28"/>
          <w:szCs w:val="28"/>
        </w:rPr>
        <w:t xml:space="preserve"> the Equality Commission Monitoring Report found that in the private sector, men accounted for 5</w:t>
      </w:r>
      <w:r w:rsidR="007777C2">
        <w:rPr>
          <w:rFonts w:cs="Arial"/>
          <w:sz w:val="28"/>
          <w:szCs w:val="28"/>
        </w:rPr>
        <w:t>4.</w:t>
      </w:r>
      <w:r w:rsidR="0095553E">
        <w:rPr>
          <w:rFonts w:cs="Arial"/>
          <w:sz w:val="28"/>
          <w:szCs w:val="28"/>
        </w:rPr>
        <w:t>4</w:t>
      </w:r>
      <w:r>
        <w:rPr>
          <w:rFonts w:cs="Arial"/>
          <w:sz w:val="28"/>
          <w:szCs w:val="28"/>
        </w:rPr>
        <w:t>% of the monitored workforce, and women 4</w:t>
      </w:r>
      <w:r w:rsidR="0095553E">
        <w:rPr>
          <w:rFonts w:cs="Arial"/>
          <w:sz w:val="28"/>
          <w:szCs w:val="28"/>
        </w:rPr>
        <w:t>5.6</w:t>
      </w:r>
      <w:r>
        <w:rPr>
          <w:rFonts w:cs="Arial"/>
          <w:sz w:val="28"/>
          <w:szCs w:val="28"/>
        </w:rPr>
        <w:t>%. Within this group, of full-time employees there was a greater proportion of men (5</w:t>
      </w:r>
      <w:r w:rsidR="001324CB">
        <w:rPr>
          <w:rFonts w:cs="Arial"/>
          <w:sz w:val="28"/>
          <w:szCs w:val="28"/>
        </w:rPr>
        <w:t>7.8</w:t>
      </w:r>
      <w:r>
        <w:rPr>
          <w:rFonts w:cs="Arial"/>
          <w:sz w:val="28"/>
          <w:szCs w:val="28"/>
        </w:rPr>
        <w:t xml:space="preserve">%) and women made up a greater proportion of part time employees </w:t>
      </w:r>
      <w:r w:rsidR="007343CF">
        <w:rPr>
          <w:rFonts w:cs="Arial"/>
          <w:sz w:val="28"/>
          <w:szCs w:val="28"/>
        </w:rPr>
        <w:t>(</w:t>
      </w:r>
      <w:r>
        <w:rPr>
          <w:rFonts w:cs="Arial"/>
          <w:sz w:val="28"/>
          <w:szCs w:val="28"/>
        </w:rPr>
        <w:t>66.</w:t>
      </w:r>
      <w:r w:rsidR="003C0EAD">
        <w:rPr>
          <w:rFonts w:cs="Arial"/>
          <w:sz w:val="28"/>
          <w:szCs w:val="28"/>
        </w:rPr>
        <w:t>1</w:t>
      </w:r>
      <w:r w:rsidR="007343CF">
        <w:rPr>
          <w:rFonts w:cs="Arial"/>
          <w:sz w:val="28"/>
          <w:szCs w:val="28"/>
        </w:rPr>
        <w:t>)</w:t>
      </w:r>
      <w:r>
        <w:rPr>
          <w:rFonts w:cs="Arial"/>
          <w:sz w:val="28"/>
          <w:szCs w:val="28"/>
        </w:rPr>
        <w:t>%.</w:t>
      </w:r>
      <w:r>
        <w:rPr>
          <w:rStyle w:val="FootnoteReference"/>
          <w:rFonts w:cs="Arial"/>
          <w:sz w:val="28"/>
          <w:szCs w:val="28"/>
        </w:rPr>
        <w:footnoteReference w:id="12"/>
      </w:r>
      <w:r>
        <w:rPr>
          <w:rFonts w:cs="Arial"/>
          <w:sz w:val="28"/>
          <w:szCs w:val="28"/>
        </w:rPr>
        <w:t xml:space="preserve"> </w:t>
      </w:r>
    </w:p>
    <w:p w14:paraId="0FB7794C" w14:textId="77777777" w:rsidR="00784A8E" w:rsidRDefault="00784A8E" w:rsidP="004B7F75">
      <w:pPr>
        <w:jc w:val="both"/>
        <w:rPr>
          <w:rFonts w:cs="Arial"/>
          <w:sz w:val="28"/>
          <w:szCs w:val="28"/>
        </w:rPr>
      </w:pPr>
    </w:p>
    <w:p w14:paraId="0CB510A9" w14:textId="7BF918B3" w:rsidR="00784A8E" w:rsidRDefault="00784A8E" w:rsidP="004B7F75">
      <w:pPr>
        <w:jc w:val="both"/>
        <w:rPr>
          <w:rFonts w:cs="Arial"/>
          <w:sz w:val="28"/>
          <w:szCs w:val="28"/>
        </w:rPr>
      </w:pPr>
      <w:r>
        <w:rPr>
          <w:rFonts w:cs="Arial"/>
          <w:sz w:val="28"/>
          <w:szCs w:val="28"/>
        </w:rPr>
        <w:lastRenderedPageBreak/>
        <w:t xml:space="preserve">The most recent Labour </w:t>
      </w:r>
      <w:r w:rsidR="008928B7">
        <w:rPr>
          <w:rFonts w:cs="Arial"/>
          <w:sz w:val="28"/>
          <w:szCs w:val="28"/>
        </w:rPr>
        <w:t>Market Report</w:t>
      </w:r>
      <w:r>
        <w:rPr>
          <w:rFonts w:cs="Arial"/>
          <w:sz w:val="28"/>
          <w:szCs w:val="28"/>
        </w:rPr>
        <w:t xml:space="preserve">, published in </w:t>
      </w:r>
      <w:r w:rsidR="000A0531">
        <w:rPr>
          <w:rFonts w:cs="Arial"/>
          <w:sz w:val="28"/>
          <w:szCs w:val="28"/>
        </w:rPr>
        <w:t>December 2023</w:t>
      </w:r>
      <w:r w:rsidR="009A14AB">
        <w:rPr>
          <w:rFonts w:cs="Arial"/>
          <w:sz w:val="28"/>
          <w:szCs w:val="28"/>
        </w:rPr>
        <w:t>,</w:t>
      </w:r>
      <w:r>
        <w:rPr>
          <w:rFonts w:cs="Arial"/>
          <w:sz w:val="28"/>
          <w:szCs w:val="28"/>
        </w:rPr>
        <w:t xml:space="preserve"> indicated that 4</w:t>
      </w:r>
      <w:r w:rsidR="009A14AB">
        <w:rPr>
          <w:rFonts w:cs="Arial"/>
          <w:sz w:val="28"/>
          <w:szCs w:val="28"/>
        </w:rPr>
        <w:t>65</w:t>
      </w:r>
      <w:r>
        <w:rPr>
          <w:rFonts w:cs="Arial"/>
          <w:sz w:val="28"/>
          <w:szCs w:val="28"/>
        </w:rPr>
        <w:t xml:space="preserve">,000 males were </w:t>
      </w:r>
      <w:r w:rsidR="009F7C26">
        <w:rPr>
          <w:rFonts w:cs="Arial"/>
          <w:sz w:val="28"/>
          <w:szCs w:val="28"/>
        </w:rPr>
        <w:t>employed,</w:t>
      </w:r>
      <w:r>
        <w:rPr>
          <w:rFonts w:cs="Arial"/>
          <w:sz w:val="28"/>
          <w:szCs w:val="28"/>
        </w:rPr>
        <w:t xml:space="preserve"> and 4</w:t>
      </w:r>
      <w:r w:rsidR="009A14AB">
        <w:rPr>
          <w:rFonts w:cs="Arial"/>
          <w:sz w:val="28"/>
          <w:szCs w:val="28"/>
        </w:rPr>
        <w:t>25</w:t>
      </w:r>
      <w:r>
        <w:rPr>
          <w:rFonts w:cs="Arial"/>
          <w:sz w:val="28"/>
          <w:szCs w:val="28"/>
        </w:rPr>
        <w:t xml:space="preserve">,000 </w:t>
      </w:r>
      <w:r w:rsidR="009A14AB">
        <w:rPr>
          <w:rFonts w:cs="Arial"/>
          <w:sz w:val="28"/>
          <w:szCs w:val="28"/>
        </w:rPr>
        <w:t xml:space="preserve">females </w:t>
      </w:r>
      <w:r>
        <w:rPr>
          <w:rFonts w:cs="Arial"/>
          <w:sz w:val="28"/>
          <w:szCs w:val="28"/>
        </w:rPr>
        <w:t>were employed</w:t>
      </w:r>
      <w:r w:rsidR="009A14AB">
        <w:rPr>
          <w:rFonts w:cs="Arial"/>
          <w:sz w:val="28"/>
          <w:szCs w:val="28"/>
        </w:rPr>
        <w:t>.</w:t>
      </w:r>
      <w:r>
        <w:rPr>
          <w:rStyle w:val="FootnoteReference"/>
        </w:rPr>
        <w:footnoteReference w:id="13"/>
      </w:r>
      <w:r w:rsidR="008928B7">
        <w:rPr>
          <w:rFonts w:cs="Arial"/>
          <w:sz w:val="28"/>
          <w:szCs w:val="28"/>
        </w:rPr>
        <w:t xml:space="preserve">  </w:t>
      </w:r>
    </w:p>
    <w:p w14:paraId="194CD1C7" w14:textId="77777777" w:rsidR="00784A8E" w:rsidRDefault="00784A8E" w:rsidP="004B7F75">
      <w:pPr>
        <w:jc w:val="both"/>
        <w:rPr>
          <w:rFonts w:cs="Arial"/>
          <w:sz w:val="28"/>
          <w:szCs w:val="28"/>
        </w:rPr>
      </w:pPr>
    </w:p>
    <w:p w14:paraId="3318837B" w14:textId="77777777" w:rsidR="00784A8E" w:rsidRDefault="00784A8E" w:rsidP="004B7F75">
      <w:pPr>
        <w:pBdr>
          <w:bottom w:val="single" w:sz="12" w:space="1" w:color="auto"/>
        </w:pBdr>
        <w:jc w:val="both"/>
        <w:rPr>
          <w:rFonts w:cs="Arial"/>
          <w:sz w:val="28"/>
          <w:szCs w:val="28"/>
        </w:rPr>
      </w:pPr>
      <w:r w:rsidRPr="006C12D7">
        <w:rPr>
          <w:rFonts w:cs="Arial"/>
          <w:sz w:val="28"/>
          <w:szCs w:val="28"/>
        </w:rPr>
        <w:t>Although the female economic inactivity rate has been declining in recent years in 2021, just under a third of working age women were economically inactive, compared to just under a quarter of men. Economic inactivity rates for females have been consistently higher than males.</w:t>
      </w:r>
      <w:r>
        <w:rPr>
          <w:rFonts w:cs="Arial"/>
          <w:sz w:val="28"/>
          <w:szCs w:val="28"/>
        </w:rPr>
        <w:t xml:space="preserve"> </w:t>
      </w:r>
      <w:r w:rsidRPr="009C5EC9">
        <w:rPr>
          <w:rFonts w:cs="Arial"/>
          <w:sz w:val="28"/>
          <w:szCs w:val="28"/>
        </w:rPr>
        <w:t>Women consistently have lower economic activity than men regardless of the age of the youngest dependent child, but rates were lowest for women with a youngest dependent child of pre-school age.</w:t>
      </w:r>
      <w:r>
        <w:rPr>
          <w:rStyle w:val="FootnoteReference"/>
          <w:rFonts w:cs="Arial"/>
          <w:sz w:val="28"/>
          <w:szCs w:val="28"/>
        </w:rPr>
        <w:footnoteReference w:id="14"/>
      </w:r>
    </w:p>
    <w:p w14:paraId="72F1C55F" w14:textId="77777777" w:rsidR="00426534" w:rsidRPr="009C5EC9" w:rsidRDefault="00426534" w:rsidP="00784A8E">
      <w:pPr>
        <w:pBdr>
          <w:bottom w:val="single" w:sz="12" w:space="1" w:color="auto"/>
        </w:pBdr>
        <w:rPr>
          <w:rFonts w:cs="Arial"/>
          <w:sz w:val="28"/>
          <w:szCs w:val="28"/>
        </w:rPr>
      </w:pPr>
    </w:p>
    <w:p w14:paraId="31581534" w14:textId="77777777" w:rsidR="00426534" w:rsidRDefault="00426534" w:rsidP="00B92E4E">
      <w:pPr>
        <w:rPr>
          <w:rFonts w:cs="Arial"/>
          <w:sz w:val="28"/>
          <w:szCs w:val="28"/>
        </w:rPr>
      </w:pPr>
    </w:p>
    <w:p w14:paraId="246948B6" w14:textId="77777777" w:rsidR="004B7F75" w:rsidRDefault="008519EB" w:rsidP="004B7F75">
      <w:pPr>
        <w:rPr>
          <w:rFonts w:cs="Arial"/>
          <w:sz w:val="28"/>
          <w:szCs w:val="28"/>
        </w:rPr>
      </w:pPr>
      <w:r w:rsidRPr="008519EB">
        <w:rPr>
          <w:rFonts w:cs="Arial"/>
          <w:b/>
          <w:sz w:val="28"/>
          <w:szCs w:val="28"/>
        </w:rPr>
        <w:t>Disability</w:t>
      </w:r>
      <w:r w:rsidR="00B92E4E" w:rsidRPr="00B92E4E">
        <w:rPr>
          <w:rFonts w:cs="Arial"/>
          <w:sz w:val="28"/>
          <w:szCs w:val="28"/>
        </w:rPr>
        <w:t xml:space="preserve"> evidence / information:</w:t>
      </w:r>
    </w:p>
    <w:p w14:paraId="0E74BF01" w14:textId="7EFF54E8" w:rsidR="00141303" w:rsidRDefault="00B92E4E" w:rsidP="004B7F75">
      <w:pPr>
        <w:rPr>
          <w:rFonts w:cs="Arial"/>
          <w:sz w:val="28"/>
          <w:szCs w:val="28"/>
        </w:rPr>
      </w:pPr>
      <w:r w:rsidRPr="00B92E4E">
        <w:rPr>
          <w:rFonts w:cs="Arial"/>
          <w:sz w:val="28"/>
          <w:szCs w:val="28"/>
        </w:rPr>
        <w:br w:type="textWrapping" w:clear="all"/>
      </w:r>
      <w:r w:rsidR="00EF094E">
        <w:rPr>
          <w:rFonts w:cs="Arial"/>
          <w:sz w:val="28"/>
          <w:szCs w:val="28"/>
        </w:rPr>
        <w:t>Overall</w:t>
      </w:r>
      <w:r w:rsidR="00AA53AB">
        <w:rPr>
          <w:rFonts w:cs="Arial"/>
          <w:sz w:val="28"/>
          <w:szCs w:val="28"/>
        </w:rPr>
        <w:t xml:space="preserve">, 24.8% of respondents aged 16-64 in NI </w:t>
      </w:r>
      <w:r w:rsidR="00EF54E7">
        <w:rPr>
          <w:rFonts w:cs="Arial"/>
          <w:sz w:val="28"/>
          <w:szCs w:val="28"/>
        </w:rPr>
        <w:t>reported a long-term illness and a disability</w:t>
      </w:r>
      <w:r w:rsidR="00EF54E7">
        <w:rPr>
          <w:rStyle w:val="FootnoteReference"/>
          <w:rFonts w:cs="Arial"/>
          <w:sz w:val="28"/>
          <w:szCs w:val="28"/>
        </w:rPr>
        <w:footnoteReference w:id="15"/>
      </w:r>
      <w:r w:rsidR="00EF54E7">
        <w:rPr>
          <w:rFonts w:cs="Arial"/>
          <w:sz w:val="28"/>
          <w:szCs w:val="28"/>
        </w:rPr>
        <w:t xml:space="preserve">.  </w:t>
      </w:r>
      <w:r w:rsidR="00141303" w:rsidRPr="00BB7634">
        <w:rPr>
          <w:rFonts w:cs="Arial"/>
          <w:sz w:val="28"/>
          <w:szCs w:val="28"/>
        </w:rPr>
        <w:t>In the UK overall the figure was 17.4%.</w:t>
      </w:r>
      <w:r w:rsidR="00141303">
        <w:rPr>
          <w:rStyle w:val="FootnoteReference"/>
          <w:rFonts w:cs="Arial"/>
          <w:sz w:val="28"/>
          <w:szCs w:val="28"/>
        </w:rPr>
        <w:footnoteReference w:id="16"/>
      </w:r>
    </w:p>
    <w:p w14:paraId="7C409BCC" w14:textId="77777777" w:rsidR="00141303" w:rsidRDefault="00141303" w:rsidP="004B7F75">
      <w:pPr>
        <w:jc w:val="both"/>
        <w:rPr>
          <w:rFonts w:cs="Arial"/>
          <w:sz w:val="28"/>
          <w:szCs w:val="28"/>
        </w:rPr>
      </w:pPr>
    </w:p>
    <w:p w14:paraId="14722165" w14:textId="77777777" w:rsidR="00A36728" w:rsidRDefault="00A36728" w:rsidP="004B7F75">
      <w:pPr>
        <w:jc w:val="both"/>
        <w:rPr>
          <w:rFonts w:cs="Arial"/>
          <w:sz w:val="28"/>
          <w:szCs w:val="28"/>
        </w:rPr>
      </w:pPr>
      <w:r>
        <w:rPr>
          <w:rFonts w:cs="Arial"/>
          <w:sz w:val="28"/>
          <w:szCs w:val="28"/>
        </w:rPr>
        <w:t>There is a range of data to indicate that people with disabilities have greater issues with finding satisfying and meaningful work. People with disabilities earned less than people without disabilities on average, there is a higher rate of under-employment for people with disabilities than people without and people with disabilities report lower satisfaction scores across a range of job quality indicators.</w:t>
      </w:r>
      <w:r>
        <w:rPr>
          <w:rStyle w:val="FootnoteReference"/>
          <w:rFonts w:cs="Arial"/>
          <w:sz w:val="28"/>
          <w:szCs w:val="28"/>
        </w:rPr>
        <w:footnoteReference w:id="17"/>
      </w:r>
      <w:r>
        <w:rPr>
          <w:rFonts w:cs="Arial"/>
          <w:sz w:val="28"/>
          <w:szCs w:val="28"/>
        </w:rPr>
        <w:t xml:space="preserve"> </w:t>
      </w:r>
    </w:p>
    <w:p w14:paraId="4CC20EE9" w14:textId="0D6101C6" w:rsidR="00B92E4E" w:rsidRDefault="00B92E4E" w:rsidP="00B92E4E"/>
    <w:p w14:paraId="725EFFA5" w14:textId="77777777" w:rsidR="004B7F75" w:rsidRPr="00B92E4E" w:rsidRDefault="004B7F75" w:rsidP="00B92E4E"/>
    <w:p w14:paraId="751758F6" w14:textId="77777777" w:rsidR="00A705F9" w:rsidRDefault="008519EB" w:rsidP="00E17E34">
      <w:pPr>
        <w:rPr>
          <w:rFonts w:cs="Arial"/>
          <w:sz w:val="28"/>
          <w:szCs w:val="28"/>
        </w:rPr>
      </w:pPr>
      <w:r w:rsidRPr="008519EB">
        <w:rPr>
          <w:rFonts w:cs="Arial"/>
          <w:b/>
          <w:sz w:val="28"/>
          <w:szCs w:val="28"/>
        </w:rPr>
        <w:t>Dependants</w:t>
      </w:r>
      <w:r w:rsidR="00B92E4E" w:rsidRPr="00B92E4E">
        <w:rPr>
          <w:rFonts w:cs="Arial"/>
          <w:sz w:val="28"/>
          <w:szCs w:val="28"/>
        </w:rPr>
        <w:t xml:space="preserve"> evidence / information:</w:t>
      </w:r>
      <w:r w:rsidR="00B92E4E" w:rsidRPr="00B92E4E">
        <w:rPr>
          <w:rFonts w:cs="Arial"/>
          <w:sz w:val="28"/>
          <w:szCs w:val="28"/>
        </w:rPr>
        <w:br w:type="textWrapping" w:clear="all"/>
      </w:r>
    </w:p>
    <w:p w14:paraId="32636184" w14:textId="6D0B4056" w:rsidR="00A705F9" w:rsidRDefault="0018541A" w:rsidP="004B7F75">
      <w:pPr>
        <w:jc w:val="both"/>
        <w:rPr>
          <w:rFonts w:cs="Arial"/>
          <w:sz w:val="28"/>
          <w:szCs w:val="28"/>
        </w:rPr>
      </w:pPr>
      <w:r>
        <w:rPr>
          <w:rFonts w:cs="Arial"/>
          <w:sz w:val="28"/>
          <w:szCs w:val="28"/>
        </w:rPr>
        <w:t xml:space="preserve">The 2021 census found that on Census Day, </w:t>
      </w:r>
      <w:r w:rsidR="004159C7">
        <w:rPr>
          <w:rFonts w:cs="Arial"/>
          <w:sz w:val="28"/>
          <w:szCs w:val="28"/>
        </w:rPr>
        <w:t>30.7%</w:t>
      </w:r>
      <w:r w:rsidR="00834D9B">
        <w:rPr>
          <w:rFonts w:cs="Arial"/>
          <w:sz w:val="28"/>
          <w:szCs w:val="28"/>
        </w:rPr>
        <w:t xml:space="preserve"> of households in NI had at least one dependant child, this represents a further fall from </w:t>
      </w:r>
      <w:r w:rsidR="001F4346">
        <w:rPr>
          <w:rFonts w:cs="Arial"/>
          <w:sz w:val="28"/>
          <w:szCs w:val="28"/>
        </w:rPr>
        <w:t>36% in 2001 and 34% in 2011.</w:t>
      </w:r>
    </w:p>
    <w:p w14:paraId="05597D23" w14:textId="77777777" w:rsidR="009F7C26" w:rsidRDefault="009F7C26" w:rsidP="004B7F75">
      <w:pPr>
        <w:jc w:val="both"/>
        <w:rPr>
          <w:rFonts w:cs="Arial"/>
          <w:sz w:val="28"/>
          <w:szCs w:val="28"/>
        </w:rPr>
      </w:pPr>
    </w:p>
    <w:p w14:paraId="41A8DFB3" w14:textId="1DECBB00" w:rsidR="004E3127" w:rsidRPr="003C1CDC" w:rsidRDefault="001357DA" w:rsidP="009F7C26">
      <w:pPr>
        <w:rPr>
          <w:rFonts w:cs="Arial"/>
          <w:sz w:val="28"/>
          <w:szCs w:val="28"/>
        </w:rPr>
      </w:pPr>
      <w:r>
        <w:rPr>
          <w:rFonts w:cs="Arial"/>
          <w:sz w:val="28"/>
          <w:szCs w:val="28"/>
        </w:rPr>
        <w:t xml:space="preserve">Women are more likely to report looking after family and home as a reason for economic </w:t>
      </w:r>
      <w:r w:rsidR="00FD52DC">
        <w:rPr>
          <w:rFonts w:cs="Arial"/>
          <w:sz w:val="28"/>
          <w:szCs w:val="28"/>
        </w:rPr>
        <w:t>in</w:t>
      </w:r>
      <w:r>
        <w:rPr>
          <w:rFonts w:cs="Arial"/>
          <w:sz w:val="28"/>
          <w:szCs w:val="28"/>
        </w:rPr>
        <w:t>activity (28% for women, vs 6% for men).</w:t>
      </w:r>
      <w:r>
        <w:rPr>
          <w:rStyle w:val="FootnoteReference"/>
          <w:rFonts w:cs="Arial"/>
          <w:sz w:val="28"/>
          <w:szCs w:val="28"/>
        </w:rPr>
        <w:footnoteReference w:id="18"/>
      </w:r>
      <w:r>
        <w:rPr>
          <w:rFonts w:cs="Arial"/>
          <w:sz w:val="28"/>
          <w:szCs w:val="28"/>
        </w:rPr>
        <w:t xml:space="preserve"> </w:t>
      </w:r>
      <w:r w:rsidRPr="00B92E4E">
        <w:rPr>
          <w:rFonts w:cs="Arial"/>
          <w:sz w:val="28"/>
          <w:szCs w:val="28"/>
        </w:rPr>
        <w:br w:type="textWrapping" w:clear="all"/>
      </w:r>
    </w:p>
    <w:p w14:paraId="069AA96D" w14:textId="77777777" w:rsidR="00E91D60" w:rsidRPr="00C27F67" w:rsidRDefault="00453279" w:rsidP="00691F6D">
      <w:pPr>
        <w:pStyle w:val="Heading3"/>
      </w:pPr>
      <w:r>
        <w:br w:type="page"/>
      </w:r>
      <w:r w:rsidR="00E91D60" w:rsidRPr="00C27F67">
        <w:lastRenderedPageBreak/>
        <w:t>Needs, experiences and priorities</w:t>
      </w:r>
    </w:p>
    <w:p w14:paraId="76627470" w14:textId="77777777" w:rsidR="00E91D60" w:rsidRPr="00FA0121" w:rsidRDefault="00E91D60" w:rsidP="00E91D60">
      <w:pPr>
        <w:autoSpaceDE w:val="0"/>
        <w:autoSpaceDN w:val="0"/>
        <w:adjustRightInd w:val="0"/>
        <w:rPr>
          <w:rFonts w:cs="Arial"/>
          <w:b/>
          <w:sz w:val="28"/>
          <w:szCs w:val="28"/>
        </w:rPr>
      </w:pPr>
    </w:p>
    <w:p w14:paraId="216CD794" w14:textId="77777777" w:rsidR="00E17E34"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w:t>
      </w:r>
    </w:p>
    <w:p w14:paraId="421ABB14" w14:textId="2948C650" w:rsidR="0072544B" w:rsidRDefault="0072544B" w:rsidP="00E91D60">
      <w:pPr>
        <w:autoSpaceDE w:val="0"/>
        <w:autoSpaceDN w:val="0"/>
        <w:adjustRightInd w:val="0"/>
        <w:rPr>
          <w:rFonts w:cs="Arial"/>
          <w:sz w:val="28"/>
          <w:szCs w:val="28"/>
        </w:rPr>
      </w:pPr>
    </w:p>
    <w:p w14:paraId="1687BD78"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14:paraId="707C57D8" w14:textId="77777777" w:rsidR="00914890" w:rsidRDefault="00914890" w:rsidP="00914890">
      <w:pPr>
        <w:rPr>
          <w:rFonts w:cs="Arial"/>
          <w:sz w:val="28"/>
          <w:szCs w:val="28"/>
        </w:rPr>
      </w:pPr>
    </w:p>
    <w:p w14:paraId="6D42DC99" w14:textId="77777777" w:rsidR="0072544B" w:rsidRDefault="0072544B" w:rsidP="0072544B">
      <w:pPr>
        <w:rPr>
          <w:rFonts w:cs="Arial"/>
          <w:b/>
          <w:sz w:val="28"/>
          <w:szCs w:val="28"/>
        </w:rPr>
      </w:pPr>
    </w:p>
    <w:p w14:paraId="3E734643" w14:textId="77777777" w:rsidR="004B7F75" w:rsidRDefault="00914890" w:rsidP="004B7F75">
      <w:pPr>
        <w:rPr>
          <w:rFonts w:cs="Arial"/>
          <w:b/>
          <w:sz w:val="28"/>
          <w:szCs w:val="28"/>
        </w:rPr>
      </w:pPr>
      <w:r w:rsidRPr="00B92E4E">
        <w:rPr>
          <w:rFonts w:cs="Arial"/>
          <w:b/>
          <w:sz w:val="28"/>
          <w:szCs w:val="28"/>
        </w:rPr>
        <w:t>Religious belie</w:t>
      </w:r>
      <w:r w:rsidR="0072544B">
        <w:rPr>
          <w:rFonts w:cs="Arial"/>
          <w:b/>
          <w:sz w:val="28"/>
          <w:szCs w:val="28"/>
        </w:rPr>
        <w:t>f</w:t>
      </w:r>
    </w:p>
    <w:p w14:paraId="276D0F81" w14:textId="4C122ECA" w:rsidR="009F536B" w:rsidRDefault="00914890" w:rsidP="004B7F75">
      <w:pPr>
        <w:jc w:val="both"/>
        <w:rPr>
          <w:rFonts w:cs="Arial"/>
          <w:sz w:val="28"/>
          <w:szCs w:val="28"/>
        </w:rPr>
      </w:pPr>
      <w:r w:rsidRPr="00B92E4E">
        <w:rPr>
          <w:rFonts w:cs="Arial"/>
          <w:sz w:val="28"/>
          <w:szCs w:val="28"/>
        </w:rPr>
        <w:br w:type="textWrapping" w:clear="all"/>
      </w:r>
      <w:r w:rsidR="00914131">
        <w:rPr>
          <w:rFonts w:cs="Arial"/>
          <w:sz w:val="28"/>
          <w:szCs w:val="28"/>
        </w:rPr>
        <w:t xml:space="preserve">This </w:t>
      </w:r>
      <w:r w:rsidR="00A448DE">
        <w:rPr>
          <w:rFonts w:cs="Arial"/>
          <w:sz w:val="28"/>
          <w:szCs w:val="28"/>
        </w:rPr>
        <w:t xml:space="preserve">proposed </w:t>
      </w:r>
      <w:r w:rsidR="00914131">
        <w:rPr>
          <w:rFonts w:cs="Arial"/>
          <w:sz w:val="28"/>
          <w:szCs w:val="28"/>
        </w:rPr>
        <w:t xml:space="preserve">legislation </w:t>
      </w:r>
      <w:r w:rsidR="00A448DE">
        <w:rPr>
          <w:rFonts w:cs="Arial"/>
          <w:sz w:val="28"/>
          <w:szCs w:val="28"/>
        </w:rPr>
        <w:t>contains</w:t>
      </w:r>
      <w:r w:rsidR="00914131">
        <w:rPr>
          <w:rFonts w:cs="Arial"/>
          <w:sz w:val="28"/>
          <w:szCs w:val="28"/>
        </w:rPr>
        <w:t xml:space="preserve"> technical </w:t>
      </w:r>
      <w:r w:rsidR="00A448DE">
        <w:rPr>
          <w:rFonts w:cs="Arial"/>
          <w:sz w:val="28"/>
          <w:szCs w:val="28"/>
        </w:rPr>
        <w:t>provisions</w:t>
      </w:r>
      <w:r w:rsidR="00914131">
        <w:rPr>
          <w:rFonts w:cs="Arial"/>
          <w:sz w:val="28"/>
          <w:szCs w:val="28"/>
        </w:rPr>
        <w:t xml:space="preserve">, although </w:t>
      </w:r>
      <w:r w:rsidR="004B7F75">
        <w:rPr>
          <w:rFonts w:cs="Arial"/>
          <w:sz w:val="28"/>
          <w:szCs w:val="28"/>
        </w:rPr>
        <w:t>parts of it may be used in future to benefit the economy</w:t>
      </w:r>
      <w:r w:rsidR="00A448DE">
        <w:rPr>
          <w:rFonts w:cs="Arial"/>
          <w:sz w:val="28"/>
          <w:szCs w:val="28"/>
        </w:rPr>
        <w:t xml:space="preserve">.   </w:t>
      </w:r>
    </w:p>
    <w:p w14:paraId="64973CA0" w14:textId="77777777" w:rsidR="009F536B" w:rsidRDefault="009F536B" w:rsidP="004B7F75">
      <w:pPr>
        <w:jc w:val="both"/>
        <w:rPr>
          <w:rFonts w:cs="Arial"/>
          <w:sz w:val="28"/>
          <w:szCs w:val="28"/>
        </w:rPr>
      </w:pPr>
    </w:p>
    <w:p w14:paraId="1DE4FF97" w14:textId="403520AA" w:rsidR="00914131" w:rsidRDefault="00A448DE" w:rsidP="004B7F75">
      <w:pPr>
        <w:jc w:val="both"/>
        <w:rPr>
          <w:rFonts w:cs="Arial"/>
          <w:sz w:val="28"/>
          <w:szCs w:val="28"/>
        </w:rPr>
      </w:pPr>
      <w:r>
        <w:rPr>
          <w:rFonts w:cs="Arial"/>
          <w:sz w:val="28"/>
          <w:szCs w:val="28"/>
        </w:rPr>
        <w:t xml:space="preserve">Future implementation of specific policies or projects which </w:t>
      </w:r>
      <w:r w:rsidR="006F3FED">
        <w:rPr>
          <w:rFonts w:cs="Arial"/>
          <w:sz w:val="28"/>
          <w:szCs w:val="28"/>
        </w:rPr>
        <w:t xml:space="preserve">are enabled by the legislative changes proposed </w:t>
      </w:r>
      <w:r>
        <w:rPr>
          <w:rFonts w:cs="Arial"/>
          <w:sz w:val="28"/>
          <w:szCs w:val="28"/>
        </w:rPr>
        <w:t xml:space="preserve">will be </w:t>
      </w:r>
      <w:r w:rsidRPr="00A448DE">
        <w:rPr>
          <w:rFonts w:cs="Arial"/>
          <w:sz w:val="28"/>
          <w:szCs w:val="28"/>
        </w:rPr>
        <w:t>considered in accordance with DfE’s Equality Scheme</w:t>
      </w:r>
      <w:r>
        <w:rPr>
          <w:rFonts w:cs="Arial"/>
          <w:sz w:val="28"/>
          <w:szCs w:val="28"/>
        </w:rPr>
        <w:t>, a</w:t>
      </w:r>
      <w:r w:rsidR="00914131">
        <w:rPr>
          <w:rFonts w:cs="Arial"/>
          <w:sz w:val="28"/>
          <w:szCs w:val="28"/>
        </w:rPr>
        <w:t xml:space="preserve">nd </w:t>
      </w:r>
      <w:r w:rsidR="009F536B">
        <w:rPr>
          <w:rFonts w:cs="Arial"/>
          <w:sz w:val="28"/>
          <w:szCs w:val="28"/>
        </w:rPr>
        <w:t>needs, experiences and priorities of each of the categories</w:t>
      </w:r>
      <w:r w:rsidR="00914131">
        <w:rPr>
          <w:rFonts w:cs="Arial"/>
          <w:sz w:val="28"/>
          <w:szCs w:val="28"/>
        </w:rPr>
        <w:t xml:space="preserve"> </w:t>
      </w:r>
      <w:bookmarkStart w:id="4" w:name="_Hlk153546805"/>
      <w:r w:rsidR="00914131">
        <w:rPr>
          <w:rFonts w:cs="Arial"/>
          <w:sz w:val="28"/>
          <w:szCs w:val="28"/>
        </w:rPr>
        <w:t xml:space="preserve">will be </w:t>
      </w:r>
      <w:r>
        <w:rPr>
          <w:rFonts w:cs="Arial"/>
          <w:sz w:val="28"/>
          <w:szCs w:val="28"/>
        </w:rPr>
        <w:t>considered</w:t>
      </w:r>
      <w:r w:rsidR="00914131">
        <w:rPr>
          <w:rFonts w:cs="Arial"/>
          <w:sz w:val="28"/>
          <w:szCs w:val="28"/>
        </w:rPr>
        <w:t xml:space="preserve"> on a case by case basis</w:t>
      </w:r>
      <w:r>
        <w:rPr>
          <w:rFonts w:cs="Arial"/>
          <w:sz w:val="28"/>
          <w:szCs w:val="28"/>
        </w:rPr>
        <w:t xml:space="preserve"> by the relevant policy / project lead</w:t>
      </w:r>
      <w:r w:rsidR="00914131">
        <w:rPr>
          <w:rFonts w:cs="Arial"/>
          <w:sz w:val="28"/>
          <w:szCs w:val="28"/>
        </w:rPr>
        <w:t xml:space="preserve">.  </w:t>
      </w:r>
      <w:bookmarkEnd w:id="4"/>
    </w:p>
    <w:p w14:paraId="3915BF69" w14:textId="6AA2E413" w:rsidR="0072544B" w:rsidRPr="0072544B" w:rsidRDefault="0072544B" w:rsidP="0072544B"/>
    <w:p w14:paraId="12EE370D" w14:textId="77777777"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14:paraId="0F88212F" w14:textId="2C549546" w:rsidR="00D170CA" w:rsidRDefault="00D170CA" w:rsidP="0072544B">
      <w:pPr>
        <w:rPr>
          <w:rFonts w:cs="Arial"/>
          <w:sz w:val="28"/>
          <w:szCs w:val="28"/>
        </w:rPr>
      </w:pPr>
      <w:r>
        <w:rPr>
          <w:rFonts w:cs="Arial"/>
          <w:sz w:val="28"/>
          <w:szCs w:val="28"/>
        </w:rPr>
        <w:t>As above</w:t>
      </w:r>
    </w:p>
    <w:p w14:paraId="57C2A70B" w14:textId="2F83BDF7" w:rsidR="0072544B" w:rsidRPr="0072544B" w:rsidRDefault="0072544B" w:rsidP="0072544B"/>
    <w:p w14:paraId="4C290863"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Racial Group</w:t>
      </w:r>
    </w:p>
    <w:p w14:paraId="21F70D1E" w14:textId="5882475B" w:rsidR="0072544B" w:rsidRDefault="00D170CA" w:rsidP="00D170CA">
      <w:pPr>
        <w:rPr>
          <w:rFonts w:cs="Arial"/>
          <w:sz w:val="28"/>
          <w:szCs w:val="28"/>
        </w:rPr>
      </w:pPr>
      <w:r>
        <w:rPr>
          <w:rFonts w:cs="Arial"/>
          <w:sz w:val="28"/>
          <w:szCs w:val="28"/>
        </w:rPr>
        <w:t xml:space="preserve">As above </w:t>
      </w:r>
    </w:p>
    <w:p w14:paraId="0BB0E8C7" w14:textId="77777777" w:rsidR="00D170CA" w:rsidRDefault="00D170CA" w:rsidP="00D170CA">
      <w:pPr>
        <w:rPr>
          <w:rFonts w:cs="Arial"/>
          <w:sz w:val="28"/>
          <w:szCs w:val="28"/>
        </w:rPr>
      </w:pPr>
    </w:p>
    <w:p w14:paraId="1DBF07ED"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Age</w:t>
      </w:r>
    </w:p>
    <w:p w14:paraId="449FC246" w14:textId="2BCB954F" w:rsidR="0072544B" w:rsidRPr="0072544B" w:rsidRDefault="00D170CA" w:rsidP="0072544B">
      <w:r>
        <w:rPr>
          <w:rFonts w:cs="Arial"/>
          <w:sz w:val="28"/>
          <w:szCs w:val="28"/>
        </w:rPr>
        <w:t>As above</w:t>
      </w:r>
    </w:p>
    <w:p w14:paraId="3FECD398" w14:textId="77777777" w:rsidR="0072544B" w:rsidRDefault="0072544B" w:rsidP="00E91D60">
      <w:pPr>
        <w:autoSpaceDE w:val="0"/>
        <w:autoSpaceDN w:val="0"/>
        <w:adjustRightInd w:val="0"/>
        <w:rPr>
          <w:rFonts w:cs="Arial"/>
          <w:sz w:val="28"/>
          <w:szCs w:val="28"/>
        </w:rPr>
      </w:pPr>
    </w:p>
    <w:p w14:paraId="7B7E31BA"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Marital status</w:t>
      </w:r>
    </w:p>
    <w:p w14:paraId="33469FA9" w14:textId="624E7EA4" w:rsidR="0072544B" w:rsidRPr="0072544B" w:rsidRDefault="00D170CA" w:rsidP="0072544B">
      <w:r>
        <w:rPr>
          <w:rFonts w:cs="Arial"/>
          <w:sz w:val="28"/>
          <w:szCs w:val="28"/>
        </w:rPr>
        <w:t>As above</w:t>
      </w:r>
    </w:p>
    <w:p w14:paraId="3767F03C" w14:textId="77777777" w:rsidR="0072544B" w:rsidRDefault="0072544B" w:rsidP="00E91D60">
      <w:pPr>
        <w:autoSpaceDE w:val="0"/>
        <w:autoSpaceDN w:val="0"/>
        <w:adjustRightInd w:val="0"/>
        <w:rPr>
          <w:rFonts w:cs="Arial"/>
          <w:sz w:val="28"/>
          <w:szCs w:val="28"/>
        </w:rPr>
      </w:pPr>
    </w:p>
    <w:p w14:paraId="2977FF78"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Sexual orientation</w:t>
      </w:r>
    </w:p>
    <w:p w14:paraId="7B9077FB" w14:textId="599EEE24" w:rsidR="0072544B" w:rsidRPr="0072544B" w:rsidRDefault="00D170CA" w:rsidP="0072544B">
      <w:r>
        <w:rPr>
          <w:rFonts w:cs="Arial"/>
          <w:sz w:val="28"/>
          <w:szCs w:val="28"/>
        </w:rPr>
        <w:t xml:space="preserve">As above </w:t>
      </w:r>
    </w:p>
    <w:p w14:paraId="7057CCC5" w14:textId="77777777" w:rsidR="0072544B" w:rsidRDefault="0072544B" w:rsidP="00E91D60">
      <w:pPr>
        <w:autoSpaceDE w:val="0"/>
        <w:autoSpaceDN w:val="0"/>
        <w:adjustRightInd w:val="0"/>
        <w:rPr>
          <w:rFonts w:cs="Arial"/>
          <w:sz w:val="28"/>
          <w:szCs w:val="28"/>
        </w:rPr>
      </w:pPr>
    </w:p>
    <w:p w14:paraId="735793AE"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Men and Women Generally</w:t>
      </w:r>
    </w:p>
    <w:p w14:paraId="01C96CA1" w14:textId="5ED8E3CD" w:rsidR="0072544B" w:rsidRPr="0072544B" w:rsidRDefault="00D170CA" w:rsidP="0072544B">
      <w:r>
        <w:rPr>
          <w:rFonts w:cs="Arial"/>
          <w:sz w:val="28"/>
          <w:szCs w:val="28"/>
        </w:rPr>
        <w:t>As above</w:t>
      </w:r>
    </w:p>
    <w:p w14:paraId="27591E0D" w14:textId="77777777" w:rsidR="0072544B" w:rsidRDefault="0072544B" w:rsidP="0072544B">
      <w:pPr>
        <w:autoSpaceDE w:val="0"/>
        <w:autoSpaceDN w:val="0"/>
        <w:adjustRightInd w:val="0"/>
        <w:rPr>
          <w:rFonts w:cs="Arial"/>
          <w:sz w:val="28"/>
          <w:szCs w:val="28"/>
        </w:rPr>
      </w:pPr>
    </w:p>
    <w:p w14:paraId="01065C91" w14:textId="2152B822" w:rsidR="00D32856" w:rsidRDefault="00D32856" w:rsidP="00D32856">
      <w:pPr>
        <w:rPr>
          <w:rFonts w:cs="Arial"/>
          <w:sz w:val="28"/>
          <w:szCs w:val="28"/>
        </w:rPr>
      </w:pPr>
      <w:r w:rsidRPr="008519EB">
        <w:rPr>
          <w:rFonts w:cs="Arial"/>
          <w:b/>
          <w:sz w:val="28"/>
          <w:szCs w:val="28"/>
        </w:rPr>
        <w:t>Disability</w:t>
      </w:r>
      <w:r w:rsidRPr="00B92E4E">
        <w:rPr>
          <w:rFonts w:cs="Arial"/>
          <w:sz w:val="28"/>
          <w:szCs w:val="28"/>
        </w:rPr>
        <w:t xml:space="preserve"> </w:t>
      </w:r>
      <w:r w:rsidRPr="00B92E4E">
        <w:rPr>
          <w:rFonts w:cs="Arial"/>
          <w:sz w:val="28"/>
          <w:szCs w:val="28"/>
        </w:rPr>
        <w:br w:type="textWrapping" w:clear="all"/>
      </w:r>
      <w:r w:rsidR="00D170CA">
        <w:rPr>
          <w:rFonts w:cs="Arial"/>
          <w:sz w:val="28"/>
          <w:szCs w:val="28"/>
        </w:rPr>
        <w:t xml:space="preserve">As above </w:t>
      </w:r>
    </w:p>
    <w:p w14:paraId="186D663F" w14:textId="77777777" w:rsidR="00D170CA" w:rsidRPr="00B92E4E" w:rsidRDefault="00D170CA" w:rsidP="00D32856">
      <w:pPr>
        <w:rPr>
          <w:rFonts w:cs="Arial"/>
          <w:sz w:val="28"/>
          <w:szCs w:val="28"/>
        </w:rPr>
      </w:pPr>
    </w:p>
    <w:p w14:paraId="55DCAE8E" w14:textId="39792823" w:rsidR="00E17E34" w:rsidRDefault="00D32856" w:rsidP="00E91D60">
      <w:pPr>
        <w:rPr>
          <w:rFonts w:cs="Arial"/>
          <w:sz w:val="28"/>
          <w:szCs w:val="28"/>
        </w:rPr>
      </w:pPr>
      <w:r w:rsidRPr="008519EB">
        <w:rPr>
          <w:rFonts w:cs="Arial"/>
          <w:b/>
          <w:sz w:val="28"/>
          <w:szCs w:val="28"/>
        </w:rPr>
        <w:lastRenderedPageBreak/>
        <w:t>Dependants</w:t>
      </w:r>
      <w:r w:rsidRPr="00B92E4E">
        <w:rPr>
          <w:rFonts w:cs="Arial"/>
          <w:sz w:val="28"/>
          <w:szCs w:val="28"/>
        </w:rPr>
        <w:br w:type="textWrapping" w:clear="all"/>
      </w:r>
      <w:r w:rsidR="00D170CA">
        <w:rPr>
          <w:rFonts w:cs="Arial"/>
          <w:sz w:val="28"/>
          <w:szCs w:val="28"/>
        </w:rPr>
        <w:t>As above</w:t>
      </w:r>
    </w:p>
    <w:p w14:paraId="4C8305D4" w14:textId="77777777" w:rsidR="004B7F75" w:rsidRDefault="004B7F75" w:rsidP="00E91D60">
      <w:pPr>
        <w:rPr>
          <w:rFonts w:cs="Arial"/>
          <w:sz w:val="28"/>
          <w:szCs w:val="28"/>
        </w:rPr>
      </w:pPr>
    </w:p>
    <w:p w14:paraId="7194F4A5" w14:textId="69E5C5DE" w:rsidR="00E91D60" w:rsidRPr="00C27F67" w:rsidRDefault="00E91D60" w:rsidP="00C27F67">
      <w:pPr>
        <w:pStyle w:val="Heading2"/>
        <w:rPr>
          <w:b/>
          <w:u w:val="single"/>
        </w:rPr>
      </w:pPr>
      <w:r w:rsidRPr="00C27F67">
        <w:rPr>
          <w:b/>
          <w:u w:val="single"/>
        </w:rPr>
        <w:t xml:space="preserve">Part 2. Screening questions </w:t>
      </w:r>
    </w:p>
    <w:p w14:paraId="7A7A5393" w14:textId="77777777" w:rsidR="00E91D60" w:rsidRDefault="00E91D60" w:rsidP="00E91D60">
      <w:pPr>
        <w:rPr>
          <w:rFonts w:cs="Arial"/>
          <w:sz w:val="28"/>
          <w:szCs w:val="28"/>
        </w:rPr>
      </w:pPr>
    </w:p>
    <w:p w14:paraId="11423629" w14:textId="4FD10165" w:rsidR="00E91D60" w:rsidRDefault="00E91D60" w:rsidP="00691F6D">
      <w:pPr>
        <w:pStyle w:val="Heading3"/>
      </w:pPr>
      <w:r w:rsidRPr="00C27F67">
        <w:t>Introduction</w:t>
      </w:r>
      <w:r w:rsidRPr="00214D9C">
        <w:t xml:space="preserve"> </w:t>
      </w:r>
    </w:p>
    <w:p w14:paraId="202F538A" w14:textId="77777777" w:rsidR="00691F6D" w:rsidRPr="00691F6D" w:rsidRDefault="00691F6D" w:rsidP="00691F6D"/>
    <w:p w14:paraId="3424816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 xml:space="preserve">the </w:t>
      </w:r>
      <w:r w:rsidR="00214D9C">
        <w:rPr>
          <w:rFonts w:cs="Arial"/>
          <w:sz w:val="28"/>
          <w:szCs w:val="28"/>
        </w:rPr>
        <w:t>Screening Q</w:t>
      </w:r>
      <w:r w:rsidRPr="00B81381">
        <w:rPr>
          <w:rFonts w:cs="Arial"/>
          <w:sz w:val="28"/>
          <w:szCs w:val="28"/>
        </w:rPr>
        <w:t xml:space="preserve">uestions </w:t>
      </w:r>
      <w:r>
        <w:rPr>
          <w:rFonts w:cs="Arial"/>
          <w:sz w:val="28"/>
          <w:szCs w:val="28"/>
        </w:rPr>
        <w:t>1-4</w:t>
      </w:r>
      <w:r w:rsidR="00214D9C">
        <w:rPr>
          <w:rFonts w:cs="Arial"/>
          <w:sz w:val="28"/>
          <w:szCs w:val="28"/>
        </w:rPr>
        <w:t>, which follow.</w:t>
      </w:r>
    </w:p>
    <w:p w14:paraId="7784792B" w14:textId="77777777" w:rsidR="00E91D60" w:rsidRPr="00B81381" w:rsidRDefault="00E91D60" w:rsidP="00E91D60">
      <w:pPr>
        <w:autoSpaceDE w:val="0"/>
        <w:autoSpaceDN w:val="0"/>
        <w:adjustRightInd w:val="0"/>
        <w:rPr>
          <w:rFonts w:cs="Arial"/>
          <w:sz w:val="28"/>
          <w:szCs w:val="28"/>
        </w:rPr>
      </w:pPr>
    </w:p>
    <w:p w14:paraId="30296E64"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07CD143" w14:textId="77777777" w:rsidR="00E91D60" w:rsidRDefault="00E91D60" w:rsidP="00E91D60">
      <w:pPr>
        <w:autoSpaceDE w:val="0"/>
        <w:autoSpaceDN w:val="0"/>
        <w:adjustRightInd w:val="0"/>
        <w:rPr>
          <w:rFonts w:cs="Arial"/>
          <w:sz w:val="28"/>
          <w:szCs w:val="28"/>
        </w:rPr>
      </w:pPr>
    </w:p>
    <w:p w14:paraId="0F74D681"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1055BA34" w14:textId="77777777" w:rsidR="00E91D60" w:rsidRPr="00B81381" w:rsidRDefault="00E91D60" w:rsidP="00E91D60">
      <w:pPr>
        <w:autoSpaceDE w:val="0"/>
        <w:autoSpaceDN w:val="0"/>
        <w:adjustRightInd w:val="0"/>
        <w:rPr>
          <w:rFonts w:cs="Arial"/>
          <w:sz w:val="28"/>
          <w:szCs w:val="28"/>
        </w:rPr>
      </w:pPr>
    </w:p>
    <w:p w14:paraId="43D51E3A"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61F57FE5" w14:textId="77777777" w:rsidR="00E91D60" w:rsidRPr="00B81381" w:rsidRDefault="00E91D60" w:rsidP="00E91D60">
      <w:pPr>
        <w:autoSpaceDE w:val="0"/>
        <w:autoSpaceDN w:val="0"/>
        <w:adjustRightInd w:val="0"/>
        <w:rPr>
          <w:rFonts w:cs="Arial"/>
          <w:sz w:val="28"/>
          <w:szCs w:val="28"/>
        </w:rPr>
      </w:pPr>
    </w:p>
    <w:p w14:paraId="22385274"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65BFF2F2"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FD820B5" w14:textId="77777777" w:rsidR="00E91D60" w:rsidRPr="00B81381" w:rsidRDefault="00E91D60" w:rsidP="00E91D60">
      <w:pPr>
        <w:autoSpaceDE w:val="0"/>
        <w:autoSpaceDN w:val="0"/>
        <w:adjustRightInd w:val="0"/>
        <w:rPr>
          <w:rFonts w:cs="Arial"/>
          <w:sz w:val="28"/>
          <w:szCs w:val="28"/>
        </w:rPr>
      </w:pPr>
    </w:p>
    <w:p w14:paraId="716B7DB8" w14:textId="77777777" w:rsidR="00E91D60" w:rsidRDefault="00E91D60" w:rsidP="006A5D7D">
      <w:pPr>
        <w:pStyle w:val="Heading4"/>
      </w:pPr>
      <w:r>
        <w:t>In favour of a ‘major’ impact</w:t>
      </w:r>
    </w:p>
    <w:p w14:paraId="43C2DE00" w14:textId="77777777" w:rsidR="00E91D60" w:rsidRPr="008A3870" w:rsidRDefault="00E91D60" w:rsidP="00E91D60">
      <w:pPr>
        <w:rPr>
          <w:rFonts w:cs="Arial"/>
          <w:b/>
          <w:sz w:val="28"/>
        </w:rPr>
      </w:pPr>
    </w:p>
    <w:p w14:paraId="25CB7E0B"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0AAF2FE2" w14:textId="77777777" w:rsidR="00E91D60" w:rsidRDefault="00E91D60" w:rsidP="00E91D60">
      <w:pPr>
        <w:numPr>
          <w:ilvl w:val="0"/>
          <w:numId w:val="4"/>
        </w:numPr>
        <w:spacing w:after="120"/>
        <w:rPr>
          <w:rFonts w:cs="Arial"/>
          <w:sz w:val="28"/>
        </w:rPr>
      </w:pPr>
      <w:r w:rsidRPr="00921222">
        <w:rPr>
          <w:rFonts w:cs="Arial"/>
          <w:sz w:val="28"/>
        </w:rPr>
        <w:t xml:space="preserve">Potential </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7DCCBA4E" w14:textId="77777777" w:rsidR="00E91D60" w:rsidRDefault="00E91D60" w:rsidP="00E91D60">
      <w:pPr>
        <w:numPr>
          <w:ilvl w:val="0"/>
          <w:numId w:val="4"/>
        </w:numPr>
        <w:spacing w:after="120"/>
        <w:rPr>
          <w:rFonts w:cs="Arial"/>
          <w:sz w:val="28"/>
        </w:rPr>
      </w:pPr>
      <w:r>
        <w:rPr>
          <w:rFonts w:cs="Arial"/>
          <w:sz w:val="28"/>
        </w:rPr>
        <w:lastRenderedPageBreak/>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32142DEF"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4B32FD5E"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7E2EED4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69523088" w14:textId="77777777" w:rsidR="00E91D60" w:rsidRDefault="00E91D60" w:rsidP="00E91D60">
      <w:pPr>
        <w:rPr>
          <w:rFonts w:cs="Arial"/>
          <w:b/>
          <w:sz w:val="28"/>
          <w:szCs w:val="28"/>
        </w:rPr>
      </w:pPr>
    </w:p>
    <w:p w14:paraId="111CCCF7" w14:textId="77777777" w:rsidR="00E91D60" w:rsidRPr="00921222" w:rsidRDefault="00E91D60" w:rsidP="006A5D7D">
      <w:pPr>
        <w:pStyle w:val="Heading4"/>
      </w:pPr>
      <w:r>
        <w:rPr>
          <w:szCs w:val="28"/>
        </w:rPr>
        <w:t>I</w:t>
      </w:r>
      <w:r>
        <w:t>n favour of ‘minor’ impact</w:t>
      </w:r>
    </w:p>
    <w:p w14:paraId="18EFE75D" w14:textId="77777777" w:rsidR="00E91D60" w:rsidRPr="00921222" w:rsidRDefault="00E91D60" w:rsidP="00E91D60">
      <w:pPr>
        <w:tabs>
          <w:tab w:val="left" w:pos="567"/>
        </w:tabs>
        <w:ind w:left="142"/>
        <w:rPr>
          <w:rFonts w:cs="Arial"/>
          <w:b/>
          <w:sz w:val="28"/>
        </w:rPr>
      </w:pPr>
    </w:p>
    <w:p w14:paraId="468BA723"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7697C713"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37BD0A2E"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A3C5E4D"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28FA96C7" w14:textId="77777777" w:rsidR="00E91D60" w:rsidRDefault="00E91D60" w:rsidP="00E91D60">
      <w:pPr>
        <w:rPr>
          <w:sz w:val="28"/>
          <w:szCs w:val="28"/>
        </w:rPr>
      </w:pPr>
    </w:p>
    <w:p w14:paraId="30770BDD" w14:textId="77777777" w:rsidR="00E91D60" w:rsidRDefault="00E91D60" w:rsidP="006A5D7D">
      <w:pPr>
        <w:pStyle w:val="Heading4"/>
      </w:pPr>
      <w:r>
        <w:t>In favour of none</w:t>
      </w:r>
    </w:p>
    <w:p w14:paraId="620EE045" w14:textId="77777777" w:rsidR="00E91D60" w:rsidRDefault="00E91D60" w:rsidP="00E91D60">
      <w:pPr>
        <w:tabs>
          <w:tab w:val="left" w:pos="360"/>
        </w:tabs>
        <w:rPr>
          <w:b/>
          <w:sz w:val="28"/>
          <w:szCs w:val="28"/>
        </w:rPr>
      </w:pPr>
      <w:r>
        <w:rPr>
          <w:b/>
          <w:sz w:val="28"/>
          <w:szCs w:val="28"/>
        </w:rPr>
        <w:tab/>
      </w:r>
    </w:p>
    <w:p w14:paraId="6FBE9FB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7F030C58"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2FD8162" w14:textId="77777777" w:rsidR="00E91D60" w:rsidRPr="00B81381" w:rsidRDefault="00E91D60" w:rsidP="00E91D60">
      <w:pPr>
        <w:rPr>
          <w:sz w:val="28"/>
          <w:szCs w:val="28"/>
        </w:rPr>
      </w:pPr>
    </w:p>
    <w:p w14:paraId="4259585B"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214D9C">
        <w:rPr>
          <w:rFonts w:cs="Arial"/>
          <w:b/>
          <w:sz w:val="28"/>
          <w:szCs w:val="28"/>
        </w:rPr>
        <w:lastRenderedPageBreak/>
        <w:t>Screening questions</w:t>
      </w:r>
      <w:r w:rsidRPr="00214D9C">
        <w:rPr>
          <w:rFonts w:cs="Arial"/>
          <w:sz w:val="28"/>
          <w:szCs w:val="28"/>
        </w:rPr>
        <w:t xml:space="preserve"> </w:t>
      </w:r>
    </w:p>
    <w:p w14:paraId="789F6708" w14:textId="77777777" w:rsidR="00FA2356" w:rsidRDefault="00FA2356" w:rsidP="00E91D60">
      <w:pPr>
        <w:autoSpaceDE w:val="0"/>
        <w:autoSpaceDN w:val="0"/>
        <w:adjustRightInd w:val="0"/>
        <w:rPr>
          <w:rFonts w:cs="Arial"/>
          <w:sz w:val="28"/>
          <w:szCs w:val="28"/>
        </w:rPr>
      </w:pPr>
    </w:p>
    <w:p w14:paraId="1640A528"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490C9DC3" w14:textId="77777777" w:rsidR="00127EA5" w:rsidRDefault="00127EA5" w:rsidP="00E42C80">
      <w:pPr>
        <w:pStyle w:val="ListParagraph"/>
        <w:autoSpaceDE w:val="0"/>
        <w:autoSpaceDN w:val="0"/>
        <w:adjustRightInd w:val="0"/>
        <w:ind w:left="360"/>
        <w:rPr>
          <w:rFonts w:cs="Arial"/>
          <w:bCs/>
          <w:sz w:val="28"/>
          <w:szCs w:val="28"/>
        </w:rPr>
      </w:pPr>
    </w:p>
    <w:p w14:paraId="040D1E75"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06560F1A" w14:textId="77777777" w:rsidR="00E42C80" w:rsidRDefault="00E42C80" w:rsidP="00E42C80">
      <w:pPr>
        <w:pStyle w:val="ListParagraph"/>
        <w:autoSpaceDE w:val="0"/>
        <w:autoSpaceDN w:val="0"/>
        <w:adjustRightInd w:val="0"/>
        <w:ind w:left="360"/>
        <w:rPr>
          <w:rFonts w:cs="Arial"/>
          <w:bCs/>
          <w:sz w:val="28"/>
          <w:szCs w:val="28"/>
        </w:rPr>
      </w:pPr>
    </w:p>
    <w:p w14:paraId="2E8E0C72" w14:textId="77777777" w:rsidR="00127EA5" w:rsidRDefault="00127EA5" w:rsidP="00E42C80">
      <w:pPr>
        <w:pStyle w:val="ListParagraph"/>
        <w:autoSpaceDE w:val="0"/>
        <w:autoSpaceDN w:val="0"/>
        <w:adjustRightInd w:val="0"/>
        <w:ind w:left="360"/>
        <w:rPr>
          <w:rFonts w:cs="Arial"/>
          <w:bCs/>
          <w:sz w:val="28"/>
          <w:szCs w:val="28"/>
        </w:rPr>
      </w:pPr>
    </w:p>
    <w:p w14:paraId="2FD600B1" w14:textId="77777777" w:rsidR="0023755C"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p>
    <w:p w14:paraId="4B2A0CAF" w14:textId="77777777" w:rsidR="00A448DE" w:rsidRDefault="00A448DE" w:rsidP="00A448DE">
      <w:pPr>
        <w:jc w:val="both"/>
        <w:rPr>
          <w:rFonts w:cs="Arial"/>
          <w:sz w:val="28"/>
          <w:szCs w:val="28"/>
        </w:rPr>
      </w:pPr>
    </w:p>
    <w:p w14:paraId="1A804D81" w14:textId="61D0BCE1" w:rsidR="0096413F" w:rsidRDefault="008C71A6" w:rsidP="00A448DE">
      <w:pPr>
        <w:pStyle w:val="ListParagraph"/>
        <w:autoSpaceDE w:val="0"/>
        <w:autoSpaceDN w:val="0"/>
        <w:adjustRightInd w:val="0"/>
        <w:ind w:left="360"/>
        <w:jc w:val="both"/>
        <w:rPr>
          <w:rFonts w:cs="Arial"/>
          <w:sz w:val="28"/>
          <w:szCs w:val="28"/>
        </w:rPr>
      </w:pPr>
      <w:r w:rsidRPr="00BA6268">
        <w:rPr>
          <w:rFonts w:cs="Arial"/>
          <w:sz w:val="28"/>
          <w:szCs w:val="28"/>
        </w:rPr>
        <w:t xml:space="preserve">The </w:t>
      </w:r>
      <w:r w:rsidR="00A26B5A">
        <w:rPr>
          <w:rFonts w:cs="Arial"/>
          <w:sz w:val="28"/>
          <w:szCs w:val="28"/>
        </w:rPr>
        <w:t>proposal</w:t>
      </w:r>
      <w:r w:rsidR="00A26B5A" w:rsidRPr="00BA6268">
        <w:rPr>
          <w:rFonts w:cs="Arial"/>
          <w:sz w:val="28"/>
          <w:szCs w:val="28"/>
        </w:rPr>
        <w:t xml:space="preserve"> </w:t>
      </w:r>
      <w:r w:rsidRPr="00BA6268">
        <w:rPr>
          <w:rFonts w:cs="Arial"/>
          <w:sz w:val="28"/>
          <w:szCs w:val="28"/>
        </w:rPr>
        <w:t xml:space="preserve">is technical in nature and will have no </w:t>
      </w:r>
      <w:r w:rsidR="00BA6268">
        <w:rPr>
          <w:rFonts w:cs="Arial"/>
          <w:sz w:val="28"/>
          <w:szCs w:val="28"/>
        </w:rPr>
        <w:t xml:space="preserve">bearing in terms of its likely </w:t>
      </w:r>
      <w:r w:rsidRPr="00BA6268">
        <w:rPr>
          <w:rFonts w:cs="Arial"/>
          <w:sz w:val="28"/>
          <w:szCs w:val="28"/>
        </w:rPr>
        <w:t>impact on equality of opportunity or good relations</w:t>
      </w:r>
      <w:r w:rsidR="00BA6268">
        <w:rPr>
          <w:rFonts w:cs="Arial"/>
          <w:sz w:val="28"/>
          <w:szCs w:val="28"/>
        </w:rPr>
        <w:t>.</w:t>
      </w:r>
      <w:r w:rsidR="0068301E">
        <w:rPr>
          <w:rFonts w:cs="Arial"/>
          <w:sz w:val="28"/>
          <w:szCs w:val="28"/>
        </w:rPr>
        <w:t xml:space="preserve">  Any responses to the consultation that indicate potential impacts will be considered.</w:t>
      </w:r>
    </w:p>
    <w:p w14:paraId="563BB3BE" w14:textId="77777777" w:rsidR="00B148DA" w:rsidRPr="00BA6268" w:rsidRDefault="00B148DA" w:rsidP="00A448DE">
      <w:pPr>
        <w:pStyle w:val="ListParagraph"/>
        <w:autoSpaceDE w:val="0"/>
        <w:autoSpaceDN w:val="0"/>
        <w:adjustRightInd w:val="0"/>
        <w:ind w:left="360"/>
        <w:jc w:val="both"/>
        <w:rPr>
          <w:rFonts w:cs="Arial"/>
          <w:sz w:val="28"/>
          <w:szCs w:val="28"/>
        </w:rPr>
      </w:pPr>
    </w:p>
    <w:p w14:paraId="1A4070AA" w14:textId="0CA68B7D" w:rsidR="00BA6268" w:rsidRDefault="00A448DE" w:rsidP="00A448DE">
      <w:pPr>
        <w:ind w:left="360"/>
        <w:jc w:val="both"/>
        <w:rPr>
          <w:rFonts w:cs="Arial"/>
          <w:sz w:val="28"/>
          <w:szCs w:val="28"/>
        </w:rPr>
      </w:pPr>
      <w:r>
        <w:rPr>
          <w:rFonts w:cs="Arial"/>
          <w:sz w:val="28"/>
          <w:szCs w:val="28"/>
        </w:rPr>
        <w:t>Future implementation of specific policies or projects which are enabled by th</w:t>
      </w:r>
      <w:r w:rsidR="00A26B5A">
        <w:rPr>
          <w:rFonts w:cs="Arial"/>
          <w:sz w:val="28"/>
          <w:szCs w:val="28"/>
        </w:rPr>
        <w:t xml:space="preserve">ese provisions </w:t>
      </w:r>
      <w:r>
        <w:rPr>
          <w:rFonts w:cs="Arial"/>
          <w:sz w:val="28"/>
          <w:szCs w:val="28"/>
        </w:rPr>
        <w:t xml:space="preserve">will be </w:t>
      </w:r>
      <w:r w:rsidRPr="00A448DE">
        <w:rPr>
          <w:rFonts w:cs="Arial"/>
          <w:sz w:val="28"/>
          <w:szCs w:val="28"/>
        </w:rPr>
        <w:t>considered in accordance with DfE’s Equality Scheme</w:t>
      </w:r>
      <w:r>
        <w:rPr>
          <w:rFonts w:cs="Arial"/>
          <w:sz w:val="28"/>
          <w:szCs w:val="28"/>
        </w:rPr>
        <w:t xml:space="preserve"> and impacts on each of the categories will be considered on a case by case basis by the relevant policy / project lead. </w:t>
      </w:r>
    </w:p>
    <w:p w14:paraId="06F311D3" w14:textId="77777777" w:rsidR="00BA6268" w:rsidRDefault="00BA6268" w:rsidP="00127EA5">
      <w:pPr>
        <w:pStyle w:val="ListParagraph"/>
        <w:autoSpaceDE w:val="0"/>
        <w:autoSpaceDN w:val="0"/>
        <w:adjustRightInd w:val="0"/>
        <w:ind w:left="360"/>
        <w:rPr>
          <w:rFonts w:cs="Arial"/>
          <w:bCs/>
          <w:sz w:val="28"/>
          <w:szCs w:val="28"/>
        </w:rPr>
      </w:pPr>
    </w:p>
    <w:p w14:paraId="472A0A68" w14:textId="06454336"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2DE08A1" w14:textId="77777777" w:rsidR="00E42C80" w:rsidRDefault="00E42C80" w:rsidP="00E42C80">
      <w:pPr>
        <w:pStyle w:val="ListParagraph"/>
        <w:autoSpaceDE w:val="0"/>
        <w:autoSpaceDN w:val="0"/>
        <w:adjustRightInd w:val="0"/>
        <w:ind w:left="360"/>
        <w:rPr>
          <w:rFonts w:cs="Arial"/>
          <w:bCs/>
          <w:sz w:val="28"/>
          <w:szCs w:val="28"/>
        </w:rPr>
      </w:pPr>
    </w:p>
    <w:p w14:paraId="0E54238F" w14:textId="77777777" w:rsidR="0023755C"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p>
    <w:p w14:paraId="0AFDE1F5" w14:textId="2286E163" w:rsidR="0096413F" w:rsidRDefault="005277B3" w:rsidP="00127EA5">
      <w:pPr>
        <w:pStyle w:val="ListParagraph"/>
        <w:autoSpaceDE w:val="0"/>
        <w:autoSpaceDN w:val="0"/>
        <w:adjustRightInd w:val="0"/>
        <w:ind w:left="360"/>
        <w:rPr>
          <w:rFonts w:cs="Arial"/>
          <w:bCs/>
          <w:sz w:val="28"/>
          <w:szCs w:val="28"/>
        </w:rPr>
      </w:pPr>
      <w:r>
        <w:rPr>
          <w:rFonts w:cs="Arial"/>
          <w:bCs/>
          <w:sz w:val="28"/>
          <w:szCs w:val="28"/>
        </w:rPr>
        <w:t xml:space="preserve">As above </w:t>
      </w:r>
    </w:p>
    <w:p w14:paraId="48D222D5" w14:textId="6B4E853A"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08F3360" w14:textId="77777777" w:rsidR="0096413F" w:rsidRDefault="0096413F" w:rsidP="00127EA5">
      <w:pPr>
        <w:pStyle w:val="ListParagraph"/>
        <w:autoSpaceDE w:val="0"/>
        <w:autoSpaceDN w:val="0"/>
        <w:adjustRightInd w:val="0"/>
        <w:ind w:left="360"/>
        <w:rPr>
          <w:rFonts w:cs="Arial"/>
          <w:bCs/>
          <w:sz w:val="28"/>
          <w:szCs w:val="28"/>
        </w:rPr>
      </w:pPr>
    </w:p>
    <w:p w14:paraId="60DB32FE" w14:textId="77777777" w:rsidR="0023755C"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p>
    <w:p w14:paraId="50B2B63A" w14:textId="589A009F" w:rsidR="0096413F" w:rsidRPr="00BB0620" w:rsidRDefault="005277B3" w:rsidP="00127EA5">
      <w:pPr>
        <w:pStyle w:val="ListParagraph"/>
        <w:autoSpaceDE w:val="0"/>
        <w:autoSpaceDN w:val="0"/>
        <w:adjustRightInd w:val="0"/>
        <w:ind w:left="360"/>
        <w:rPr>
          <w:rFonts w:cs="Arial"/>
          <w:bCs/>
          <w:sz w:val="28"/>
          <w:szCs w:val="28"/>
        </w:rPr>
      </w:pPr>
      <w:r>
        <w:rPr>
          <w:rFonts w:cs="Arial"/>
          <w:bCs/>
          <w:sz w:val="28"/>
          <w:szCs w:val="28"/>
        </w:rPr>
        <w:t xml:space="preserve">As above </w:t>
      </w:r>
    </w:p>
    <w:p w14:paraId="7305AC6E" w14:textId="3FE5A68A"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BB4DE3D" w14:textId="77777777" w:rsidR="00BB0620" w:rsidRDefault="00BB0620" w:rsidP="00127EA5">
      <w:pPr>
        <w:pStyle w:val="ListParagraph"/>
        <w:autoSpaceDE w:val="0"/>
        <w:autoSpaceDN w:val="0"/>
        <w:adjustRightInd w:val="0"/>
        <w:ind w:left="360"/>
        <w:rPr>
          <w:rFonts w:cs="Arial"/>
          <w:bCs/>
          <w:sz w:val="28"/>
          <w:szCs w:val="28"/>
        </w:rPr>
      </w:pPr>
    </w:p>
    <w:p w14:paraId="0EDC51E2" w14:textId="77777777" w:rsidR="001A5BB6"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p>
    <w:p w14:paraId="24BEA1C1" w14:textId="3962A516" w:rsidR="0096413F" w:rsidRPr="00BB0620" w:rsidRDefault="005277B3" w:rsidP="00127EA5">
      <w:pPr>
        <w:pStyle w:val="ListParagraph"/>
        <w:autoSpaceDE w:val="0"/>
        <w:autoSpaceDN w:val="0"/>
        <w:adjustRightInd w:val="0"/>
        <w:ind w:left="360"/>
        <w:rPr>
          <w:rFonts w:cs="Arial"/>
          <w:bCs/>
          <w:sz w:val="28"/>
          <w:szCs w:val="28"/>
        </w:rPr>
      </w:pPr>
      <w:r>
        <w:rPr>
          <w:rFonts w:cs="Arial"/>
          <w:bCs/>
          <w:sz w:val="28"/>
          <w:szCs w:val="28"/>
        </w:rPr>
        <w:t xml:space="preserve">As above </w:t>
      </w:r>
    </w:p>
    <w:p w14:paraId="4050298D" w14:textId="4BB1BD5C"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E56E827" w14:textId="77777777" w:rsidR="00BB0620" w:rsidRDefault="00BB0620" w:rsidP="00127EA5">
      <w:pPr>
        <w:pStyle w:val="ListParagraph"/>
        <w:autoSpaceDE w:val="0"/>
        <w:autoSpaceDN w:val="0"/>
        <w:adjustRightInd w:val="0"/>
        <w:ind w:left="360"/>
        <w:rPr>
          <w:rFonts w:cs="Arial"/>
          <w:bCs/>
          <w:sz w:val="28"/>
          <w:szCs w:val="28"/>
        </w:rPr>
      </w:pPr>
    </w:p>
    <w:p w14:paraId="1D239DD4" w14:textId="77777777" w:rsidR="001A5BB6"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p>
    <w:p w14:paraId="47150984" w14:textId="77FDBAB1" w:rsidR="0096413F" w:rsidRPr="00BB0620" w:rsidRDefault="005277B3" w:rsidP="00127EA5">
      <w:pPr>
        <w:pStyle w:val="ListParagraph"/>
        <w:autoSpaceDE w:val="0"/>
        <w:autoSpaceDN w:val="0"/>
        <w:adjustRightInd w:val="0"/>
        <w:ind w:left="360"/>
        <w:rPr>
          <w:rFonts w:cs="Arial"/>
          <w:bCs/>
          <w:sz w:val="28"/>
          <w:szCs w:val="28"/>
        </w:rPr>
      </w:pPr>
      <w:r>
        <w:rPr>
          <w:rFonts w:cs="Arial"/>
          <w:bCs/>
          <w:sz w:val="28"/>
          <w:szCs w:val="28"/>
        </w:rPr>
        <w:t xml:space="preserve">As above </w:t>
      </w:r>
    </w:p>
    <w:p w14:paraId="0D1AF5A2" w14:textId="484F1808"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E4DF1CF" w14:textId="77777777" w:rsidR="00BB0620" w:rsidRDefault="00BB0620" w:rsidP="00127EA5">
      <w:pPr>
        <w:pStyle w:val="ListParagraph"/>
        <w:autoSpaceDE w:val="0"/>
        <w:autoSpaceDN w:val="0"/>
        <w:adjustRightInd w:val="0"/>
        <w:ind w:left="360"/>
        <w:rPr>
          <w:rFonts w:cs="Arial"/>
          <w:bCs/>
          <w:sz w:val="28"/>
          <w:szCs w:val="28"/>
        </w:rPr>
      </w:pPr>
    </w:p>
    <w:p w14:paraId="6F42879C" w14:textId="77777777"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p>
    <w:p w14:paraId="715DC0FD" w14:textId="666838A4" w:rsidR="001A5BB6" w:rsidRPr="00BB0620" w:rsidRDefault="005277B3" w:rsidP="001A5BB6">
      <w:pPr>
        <w:pStyle w:val="ListParagraph"/>
        <w:autoSpaceDE w:val="0"/>
        <w:autoSpaceDN w:val="0"/>
        <w:adjustRightInd w:val="0"/>
        <w:ind w:left="360"/>
        <w:rPr>
          <w:rFonts w:cs="Arial"/>
          <w:bCs/>
          <w:sz w:val="28"/>
          <w:szCs w:val="28"/>
        </w:rPr>
      </w:pPr>
      <w:r>
        <w:rPr>
          <w:rFonts w:cs="Arial"/>
          <w:bCs/>
          <w:sz w:val="28"/>
          <w:szCs w:val="28"/>
        </w:rPr>
        <w:t xml:space="preserve">As above </w:t>
      </w:r>
    </w:p>
    <w:p w14:paraId="0D6CFAA5" w14:textId="6032DA6E" w:rsidR="00DD62F3" w:rsidRDefault="00DD62F3" w:rsidP="005277B3">
      <w:pPr>
        <w:autoSpaceDE w:val="0"/>
        <w:autoSpaceDN w:val="0"/>
        <w:adjustRightInd w:val="0"/>
        <w:ind w:left="360"/>
        <w:rPr>
          <w:rFonts w:cs="Arial"/>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CD70108" w14:textId="77777777" w:rsidR="005277B3" w:rsidRDefault="005277B3" w:rsidP="005277B3">
      <w:pPr>
        <w:autoSpaceDE w:val="0"/>
        <w:autoSpaceDN w:val="0"/>
        <w:adjustRightInd w:val="0"/>
        <w:ind w:left="360"/>
        <w:rPr>
          <w:rFonts w:cs="Arial"/>
          <w:bCs/>
          <w:sz w:val="28"/>
          <w:szCs w:val="28"/>
        </w:rPr>
      </w:pPr>
    </w:p>
    <w:p w14:paraId="5FD61FF2" w14:textId="77777777" w:rsidR="001A5BB6"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p>
    <w:p w14:paraId="28D83228" w14:textId="4FA77859" w:rsidR="0096413F" w:rsidRPr="00BB0620" w:rsidRDefault="005277B3" w:rsidP="00127EA5">
      <w:pPr>
        <w:pStyle w:val="ListParagraph"/>
        <w:autoSpaceDE w:val="0"/>
        <w:autoSpaceDN w:val="0"/>
        <w:adjustRightInd w:val="0"/>
        <w:ind w:left="360"/>
        <w:rPr>
          <w:rFonts w:cs="Arial"/>
          <w:bCs/>
          <w:sz w:val="28"/>
          <w:szCs w:val="28"/>
        </w:rPr>
      </w:pPr>
      <w:r>
        <w:rPr>
          <w:rFonts w:cs="Arial"/>
          <w:bCs/>
          <w:sz w:val="28"/>
          <w:szCs w:val="28"/>
        </w:rPr>
        <w:t xml:space="preserve">As above </w:t>
      </w:r>
    </w:p>
    <w:p w14:paraId="0908F470" w14:textId="520D8D50"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796203D" w14:textId="77777777" w:rsidR="00BB0620" w:rsidRDefault="00BB0620" w:rsidP="00127EA5">
      <w:pPr>
        <w:pStyle w:val="ListParagraph"/>
        <w:autoSpaceDE w:val="0"/>
        <w:autoSpaceDN w:val="0"/>
        <w:adjustRightInd w:val="0"/>
        <w:ind w:left="360"/>
        <w:rPr>
          <w:rFonts w:cs="Arial"/>
          <w:bCs/>
          <w:sz w:val="28"/>
          <w:szCs w:val="28"/>
        </w:rPr>
      </w:pPr>
    </w:p>
    <w:p w14:paraId="54D824DC" w14:textId="77777777" w:rsidR="001A5BB6"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p>
    <w:p w14:paraId="155F9CCE" w14:textId="38CEFFFA" w:rsidR="0096413F" w:rsidRPr="00BB0620" w:rsidRDefault="005277B3" w:rsidP="00127EA5">
      <w:pPr>
        <w:pStyle w:val="ListParagraph"/>
        <w:autoSpaceDE w:val="0"/>
        <w:autoSpaceDN w:val="0"/>
        <w:adjustRightInd w:val="0"/>
        <w:ind w:left="360"/>
        <w:rPr>
          <w:rFonts w:cs="Arial"/>
          <w:bCs/>
          <w:sz w:val="28"/>
          <w:szCs w:val="28"/>
        </w:rPr>
      </w:pPr>
      <w:r>
        <w:rPr>
          <w:rFonts w:cs="Arial"/>
          <w:bCs/>
          <w:sz w:val="28"/>
          <w:szCs w:val="28"/>
        </w:rPr>
        <w:t xml:space="preserve">As above </w:t>
      </w:r>
    </w:p>
    <w:p w14:paraId="100F39BF" w14:textId="296C1DAC"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sidR="005277B3">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326FCA0" w14:textId="77777777" w:rsidR="00BB0620" w:rsidRDefault="00BB0620" w:rsidP="00127EA5">
      <w:pPr>
        <w:pStyle w:val="ListParagraph"/>
        <w:autoSpaceDE w:val="0"/>
        <w:autoSpaceDN w:val="0"/>
        <w:adjustRightInd w:val="0"/>
        <w:ind w:left="360"/>
        <w:rPr>
          <w:rFonts w:cs="Arial"/>
          <w:bCs/>
          <w:sz w:val="28"/>
          <w:szCs w:val="28"/>
        </w:rPr>
      </w:pPr>
    </w:p>
    <w:p w14:paraId="79B64E5A" w14:textId="77777777" w:rsidR="0096413F" w:rsidRPr="00DD62F3"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p>
    <w:p w14:paraId="012A0B82" w14:textId="70C091C7" w:rsidR="001A5BB6" w:rsidRPr="00BB0620" w:rsidRDefault="005277B3" w:rsidP="001A5BB6">
      <w:pPr>
        <w:pStyle w:val="ListParagraph"/>
        <w:autoSpaceDE w:val="0"/>
        <w:autoSpaceDN w:val="0"/>
        <w:adjustRightInd w:val="0"/>
        <w:ind w:left="360"/>
        <w:rPr>
          <w:rFonts w:cs="Arial"/>
          <w:bCs/>
          <w:sz w:val="28"/>
          <w:szCs w:val="28"/>
        </w:rPr>
      </w:pPr>
      <w:r>
        <w:rPr>
          <w:rFonts w:cs="Arial"/>
          <w:bCs/>
          <w:sz w:val="28"/>
          <w:szCs w:val="28"/>
        </w:rPr>
        <w:t xml:space="preserve">As above </w:t>
      </w:r>
    </w:p>
    <w:p w14:paraId="3144AAFD" w14:textId="40A36E0A" w:rsidR="00E17E34" w:rsidRDefault="0096413F" w:rsidP="00E17E34">
      <w:pPr>
        <w:autoSpaceDE w:val="0"/>
        <w:autoSpaceDN w:val="0"/>
        <w:adjustRightInd w:val="0"/>
        <w:ind w:left="360"/>
        <w:rPr>
          <w:rFonts w:cs="Arial"/>
          <w:sz w:val="28"/>
          <w:szCs w:val="28"/>
        </w:rPr>
      </w:pPr>
      <w:r w:rsidRPr="0096413F">
        <w:rPr>
          <w:rFonts w:cs="Arial"/>
          <w:bCs/>
          <w:sz w:val="28"/>
          <w:szCs w:val="28"/>
        </w:rPr>
        <w:t xml:space="preserve">What is the level of impact? </w:t>
      </w:r>
      <w:r w:rsidR="005277B3">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94F5AF0" w14:textId="77777777" w:rsidR="005277B3" w:rsidRDefault="005277B3" w:rsidP="00E17E34">
      <w:pPr>
        <w:autoSpaceDE w:val="0"/>
        <w:autoSpaceDN w:val="0"/>
        <w:adjustRightInd w:val="0"/>
        <w:ind w:left="360"/>
        <w:rPr>
          <w:rFonts w:cs="Arial"/>
          <w:b/>
          <w:bCs/>
          <w:sz w:val="28"/>
          <w:szCs w:val="28"/>
        </w:rPr>
      </w:pPr>
    </w:p>
    <w:p w14:paraId="4B971B3E" w14:textId="4460570B" w:rsidR="00FA2356" w:rsidRPr="001A5BB6" w:rsidRDefault="00FA2356" w:rsidP="001A5BB6">
      <w:pPr>
        <w:pStyle w:val="ListParagraph"/>
        <w:numPr>
          <w:ilvl w:val="0"/>
          <w:numId w:val="14"/>
        </w:numPr>
        <w:autoSpaceDE w:val="0"/>
        <w:autoSpaceDN w:val="0"/>
        <w:adjustRightInd w:val="0"/>
        <w:rPr>
          <w:b/>
          <w:bCs/>
        </w:rPr>
      </w:pPr>
      <w:r w:rsidRPr="001A5BB6">
        <w:rPr>
          <w:rFonts w:cs="Arial"/>
          <w:b/>
          <w:bCs/>
          <w:sz w:val="28"/>
          <w:szCs w:val="28"/>
        </w:rPr>
        <w:t>Are there opportunities to better promote equality of opportunity for people within the Section 75 equalities categories?</w:t>
      </w:r>
      <w:r w:rsidR="00127EA5" w:rsidRPr="001A5BB6">
        <w:rPr>
          <w:rFonts w:cs="Arial"/>
          <w:b/>
          <w:bCs/>
          <w:sz w:val="28"/>
          <w:szCs w:val="28"/>
        </w:rPr>
        <w:t xml:space="preserve"> </w:t>
      </w:r>
      <w:r w:rsidR="00127EA5" w:rsidRPr="001A5BB6">
        <w:rPr>
          <w:rFonts w:cs="Arial"/>
          <w:bCs/>
          <w:sz w:val="28"/>
          <w:szCs w:val="28"/>
        </w:rPr>
        <w:t>No</w:t>
      </w:r>
    </w:p>
    <w:p w14:paraId="7EFD0797" w14:textId="77777777" w:rsidR="00127EA5" w:rsidRDefault="00127EA5" w:rsidP="00127EA5">
      <w:pPr>
        <w:rPr>
          <w:b/>
          <w:bCs/>
        </w:rPr>
      </w:pPr>
    </w:p>
    <w:p w14:paraId="4C19258A"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BC1F85E" w14:textId="77777777" w:rsidR="00C82DA4" w:rsidRDefault="00C82DA4" w:rsidP="00EA4088">
      <w:pPr>
        <w:ind w:left="360"/>
        <w:rPr>
          <w:b/>
          <w:bCs/>
          <w:sz w:val="28"/>
          <w:szCs w:val="28"/>
        </w:rPr>
      </w:pPr>
    </w:p>
    <w:p w14:paraId="5B623B2A" w14:textId="77777777" w:rsidR="00E513EE" w:rsidRPr="00C82DA4" w:rsidRDefault="00E513EE" w:rsidP="00EA4088">
      <w:pPr>
        <w:ind w:left="360"/>
        <w:rPr>
          <w:b/>
          <w:bCs/>
          <w:sz w:val="28"/>
          <w:szCs w:val="28"/>
        </w:rPr>
      </w:pPr>
    </w:p>
    <w:p w14:paraId="025A2060" w14:textId="2887B816" w:rsidR="001A5BB6" w:rsidRDefault="00C82DA4" w:rsidP="00EA4088">
      <w:pPr>
        <w:ind w:left="360"/>
        <w:rPr>
          <w:b/>
          <w:bCs/>
          <w:sz w:val="28"/>
          <w:szCs w:val="28"/>
        </w:rPr>
      </w:pPr>
      <w:r w:rsidRPr="00C82DA4">
        <w:rPr>
          <w:b/>
          <w:bCs/>
          <w:sz w:val="28"/>
          <w:szCs w:val="28"/>
        </w:rPr>
        <w:t xml:space="preserve">Religious Belief </w:t>
      </w:r>
      <w:r w:rsidR="001A5BB6">
        <w:rPr>
          <w:b/>
          <w:bCs/>
          <w:sz w:val="28"/>
          <w:szCs w:val="28"/>
        </w:rPr>
        <w:t>–</w:t>
      </w:r>
      <w:r w:rsidR="00BD2AEC">
        <w:rPr>
          <w:b/>
          <w:bCs/>
          <w:sz w:val="28"/>
          <w:szCs w:val="28"/>
        </w:rPr>
        <w:t xml:space="preserve"> </w:t>
      </w:r>
    </w:p>
    <w:p w14:paraId="1B999C08" w14:textId="2565FE45" w:rsidR="005277B3" w:rsidRDefault="005277B3" w:rsidP="009B47FD">
      <w:pPr>
        <w:pStyle w:val="ListParagraph"/>
        <w:autoSpaceDE w:val="0"/>
        <w:autoSpaceDN w:val="0"/>
        <w:adjustRightInd w:val="0"/>
        <w:ind w:left="360"/>
        <w:jc w:val="both"/>
        <w:rPr>
          <w:rFonts w:cs="Arial"/>
          <w:sz w:val="28"/>
          <w:szCs w:val="28"/>
        </w:rPr>
      </w:pPr>
      <w:r w:rsidRPr="00BA6268">
        <w:rPr>
          <w:rFonts w:cs="Arial"/>
          <w:sz w:val="28"/>
          <w:szCs w:val="28"/>
        </w:rPr>
        <w:t xml:space="preserve">The </w:t>
      </w:r>
      <w:r w:rsidR="00A26B5A">
        <w:rPr>
          <w:rFonts w:cs="Arial"/>
          <w:sz w:val="28"/>
          <w:szCs w:val="28"/>
        </w:rPr>
        <w:t xml:space="preserve">proposal </w:t>
      </w:r>
      <w:r w:rsidRPr="00BA6268">
        <w:rPr>
          <w:rFonts w:cs="Arial"/>
          <w:sz w:val="28"/>
          <w:szCs w:val="28"/>
        </w:rPr>
        <w:t xml:space="preserve">is technical in nature and will have no </w:t>
      </w:r>
      <w:r>
        <w:rPr>
          <w:rFonts w:cs="Arial"/>
          <w:sz w:val="28"/>
          <w:szCs w:val="28"/>
        </w:rPr>
        <w:t xml:space="preserve">bearing in terms of its likely </w:t>
      </w:r>
      <w:r w:rsidRPr="00BA6268">
        <w:rPr>
          <w:rFonts w:cs="Arial"/>
          <w:sz w:val="28"/>
          <w:szCs w:val="28"/>
        </w:rPr>
        <w:t>impact on equality of opportunity or good relations</w:t>
      </w:r>
      <w:r>
        <w:rPr>
          <w:rFonts w:cs="Arial"/>
          <w:sz w:val="28"/>
          <w:szCs w:val="28"/>
        </w:rPr>
        <w:t>.</w:t>
      </w:r>
      <w:r w:rsidR="0068301E">
        <w:rPr>
          <w:rFonts w:cs="Arial"/>
          <w:sz w:val="28"/>
          <w:szCs w:val="28"/>
        </w:rPr>
        <w:t xml:space="preserve"> Any responses to the consultation that indicate potential impacts will be considered.   </w:t>
      </w:r>
    </w:p>
    <w:p w14:paraId="127FA3E3" w14:textId="77777777" w:rsidR="009B47FD" w:rsidRPr="00BA6268" w:rsidRDefault="009B47FD" w:rsidP="009B47FD">
      <w:pPr>
        <w:pStyle w:val="ListParagraph"/>
        <w:autoSpaceDE w:val="0"/>
        <w:autoSpaceDN w:val="0"/>
        <w:adjustRightInd w:val="0"/>
        <w:ind w:left="360"/>
        <w:jc w:val="both"/>
        <w:rPr>
          <w:rFonts w:cs="Arial"/>
          <w:sz w:val="28"/>
          <w:szCs w:val="28"/>
        </w:rPr>
      </w:pPr>
    </w:p>
    <w:p w14:paraId="6F03971A" w14:textId="6B3292C3" w:rsidR="005277B3" w:rsidRDefault="009B47FD" w:rsidP="009B47FD">
      <w:pPr>
        <w:ind w:left="360"/>
        <w:jc w:val="both"/>
        <w:rPr>
          <w:rFonts w:cs="Arial"/>
          <w:sz w:val="28"/>
          <w:szCs w:val="28"/>
        </w:rPr>
      </w:pPr>
      <w:r>
        <w:rPr>
          <w:rFonts w:cs="Arial"/>
          <w:sz w:val="28"/>
          <w:szCs w:val="28"/>
        </w:rPr>
        <w:t>Future i</w:t>
      </w:r>
      <w:r w:rsidR="005277B3">
        <w:rPr>
          <w:rFonts w:cs="Arial"/>
          <w:sz w:val="28"/>
          <w:szCs w:val="28"/>
        </w:rPr>
        <w:t xml:space="preserve">mplementation of specific policies or projects which are enabled by </w:t>
      </w:r>
      <w:r>
        <w:rPr>
          <w:rFonts w:cs="Arial"/>
          <w:sz w:val="28"/>
          <w:szCs w:val="28"/>
        </w:rPr>
        <w:t>th</w:t>
      </w:r>
      <w:r w:rsidR="00A26B5A">
        <w:rPr>
          <w:rFonts w:cs="Arial"/>
          <w:sz w:val="28"/>
          <w:szCs w:val="28"/>
        </w:rPr>
        <w:t>ese provisions</w:t>
      </w:r>
      <w:r w:rsidR="005277B3">
        <w:rPr>
          <w:rFonts w:cs="Arial"/>
          <w:sz w:val="28"/>
          <w:szCs w:val="28"/>
        </w:rPr>
        <w:t xml:space="preserve"> will </w:t>
      </w:r>
      <w:r w:rsidR="00A448DE">
        <w:rPr>
          <w:rFonts w:cs="Arial"/>
          <w:sz w:val="28"/>
          <w:szCs w:val="28"/>
        </w:rPr>
        <w:t xml:space="preserve">be </w:t>
      </w:r>
      <w:r w:rsidR="00A448DE" w:rsidRPr="00A448DE">
        <w:rPr>
          <w:rFonts w:cs="Arial"/>
          <w:sz w:val="28"/>
          <w:szCs w:val="28"/>
        </w:rPr>
        <w:t>considered in accordance with DfE’s Equality Scheme</w:t>
      </w:r>
      <w:r w:rsidR="00A448DE">
        <w:rPr>
          <w:rFonts w:cs="Arial"/>
          <w:sz w:val="28"/>
          <w:szCs w:val="28"/>
        </w:rPr>
        <w:t xml:space="preserve"> and opportunities to better promote equality of opportunity for people within each of the categories will be considered on a case by case basis by the relevant policy / project lead.</w:t>
      </w:r>
      <w:r w:rsidR="005277B3">
        <w:rPr>
          <w:rFonts w:cs="Arial"/>
          <w:sz w:val="28"/>
          <w:szCs w:val="28"/>
        </w:rPr>
        <w:t xml:space="preserve">   </w:t>
      </w:r>
    </w:p>
    <w:p w14:paraId="6726E501" w14:textId="77777777" w:rsidR="005277B3" w:rsidRDefault="005277B3" w:rsidP="005277B3">
      <w:pPr>
        <w:ind w:left="360"/>
        <w:rPr>
          <w:rFonts w:cs="Arial"/>
          <w:sz w:val="28"/>
          <w:szCs w:val="28"/>
        </w:rPr>
      </w:pPr>
    </w:p>
    <w:p w14:paraId="79ADF5A9" w14:textId="6FF55287" w:rsidR="001A5BB6" w:rsidRDefault="000A1318" w:rsidP="00EA4088">
      <w:pPr>
        <w:ind w:left="360"/>
        <w:rPr>
          <w:b/>
          <w:bCs/>
          <w:sz w:val="28"/>
          <w:szCs w:val="28"/>
        </w:rPr>
      </w:pPr>
      <w:r>
        <w:rPr>
          <w:b/>
          <w:bCs/>
          <w:sz w:val="28"/>
          <w:szCs w:val="28"/>
        </w:rPr>
        <w:t>Political Opinion</w:t>
      </w:r>
      <w:r w:rsidR="00C82DA4" w:rsidRPr="00C82DA4">
        <w:rPr>
          <w:b/>
          <w:bCs/>
          <w:sz w:val="28"/>
          <w:szCs w:val="28"/>
        </w:rPr>
        <w:t xml:space="preserve"> </w:t>
      </w:r>
      <w:r w:rsidR="001A5BB6">
        <w:rPr>
          <w:b/>
          <w:bCs/>
          <w:sz w:val="28"/>
          <w:szCs w:val="28"/>
        </w:rPr>
        <w:t>–</w:t>
      </w:r>
      <w:r w:rsidR="00BD2AEC">
        <w:rPr>
          <w:b/>
          <w:bCs/>
          <w:sz w:val="28"/>
          <w:szCs w:val="28"/>
        </w:rPr>
        <w:t xml:space="preserve"> </w:t>
      </w:r>
    </w:p>
    <w:p w14:paraId="56075610" w14:textId="50D9F0EA" w:rsidR="00C82DA4" w:rsidRPr="00C82DA4" w:rsidRDefault="00B4131E" w:rsidP="00EA4088">
      <w:pPr>
        <w:ind w:left="360"/>
        <w:rPr>
          <w:bCs/>
          <w:sz w:val="28"/>
          <w:szCs w:val="28"/>
        </w:rPr>
      </w:pPr>
      <w:r>
        <w:rPr>
          <w:bCs/>
          <w:sz w:val="28"/>
          <w:szCs w:val="28"/>
        </w:rPr>
        <w:t>As above</w:t>
      </w:r>
    </w:p>
    <w:p w14:paraId="727D8F42" w14:textId="77777777" w:rsidR="000A1318" w:rsidRDefault="000A1318" w:rsidP="00EA4088">
      <w:pPr>
        <w:ind w:left="360"/>
        <w:rPr>
          <w:b/>
          <w:bCs/>
          <w:sz w:val="28"/>
          <w:szCs w:val="28"/>
        </w:rPr>
      </w:pPr>
    </w:p>
    <w:p w14:paraId="316BF344" w14:textId="4F0AC70F" w:rsidR="001A5BB6" w:rsidRDefault="00BD2AEC" w:rsidP="00EA4088">
      <w:pPr>
        <w:ind w:left="360"/>
        <w:rPr>
          <w:b/>
          <w:bCs/>
          <w:sz w:val="28"/>
          <w:szCs w:val="28"/>
        </w:rPr>
      </w:pPr>
      <w:r>
        <w:rPr>
          <w:b/>
          <w:bCs/>
          <w:sz w:val="28"/>
          <w:szCs w:val="28"/>
        </w:rPr>
        <w:t xml:space="preserve">Racial Group </w:t>
      </w:r>
      <w:r w:rsidR="001A5BB6">
        <w:rPr>
          <w:b/>
          <w:bCs/>
          <w:sz w:val="28"/>
          <w:szCs w:val="28"/>
        </w:rPr>
        <w:t>–</w:t>
      </w:r>
      <w:r>
        <w:rPr>
          <w:b/>
          <w:bCs/>
          <w:sz w:val="28"/>
          <w:szCs w:val="28"/>
        </w:rPr>
        <w:t xml:space="preserve"> </w:t>
      </w:r>
    </w:p>
    <w:p w14:paraId="1D5CB461" w14:textId="72331265" w:rsidR="00C82DA4" w:rsidRPr="00C82DA4" w:rsidRDefault="00B4131E" w:rsidP="00EA4088">
      <w:pPr>
        <w:ind w:left="360"/>
        <w:rPr>
          <w:bCs/>
          <w:sz w:val="28"/>
          <w:szCs w:val="28"/>
        </w:rPr>
      </w:pPr>
      <w:r>
        <w:rPr>
          <w:bCs/>
          <w:sz w:val="28"/>
          <w:szCs w:val="28"/>
        </w:rPr>
        <w:t>As above</w:t>
      </w:r>
    </w:p>
    <w:p w14:paraId="0880A763" w14:textId="77777777" w:rsidR="000A1318" w:rsidRDefault="000A1318" w:rsidP="00EA4088">
      <w:pPr>
        <w:ind w:left="360"/>
        <w:rPr>
          <w:b/>
          <w:bCs/>
          <w:sz w:val="28"/>
          <w:szCs w:val="28"/>
        </w:rPr>
      </w:pPr>
    </w:p>
    <w:p w14:paraId="6B8357C6" w14:textId="10508F0F" w:rsidR="001A5BB6" w:rsidRDefault="00BD2AEC" w:rsidP="00EA4088">
      <w:pPr>
        <w:ind w:left="360"/>
        <w:rPr>
          <w:b/>
          <w:bCs/>
          <w:sz w:val="28"/>
          <w:szCs w:val="28"/>
        </w:rPr>
      </w:pPr>
      <w:r>
        <w:rPr>
          <w:b/>
          <w:bCs/>
          <w:sz w:val="28"/>
          <w:szCs w:val="28"/>
        </w:rPr>
        <w:t>Age</w:t>
      </w:r>
      <w:r w:rsidR="00C82DA4" w:rsidRPr="00C82DA4">
        <w:rPr>
          <w:b/>
          <w:bCs/>
          <w:sz w:val="28"/>
          <w:szCs w:val="28"/>
        </w:rPr>
        <w:t xml:space="preserve"> </w:t>
      </w:r>
      <w:r w:rsidR="001A5BB6">
        <w:rPr>
          <w:b/>
          <w:bCs/>
          <w:sz w:val="28"/>
          <w:szCs w:val="28"/>
        </w:rPr>
        <w:t>–</w:t>
      </w:r>
      <w:r>
        <w:rPr>
          <w:b/>
          <w:bCs/>
          <w:sz w:val="28"/>
          <w:szCs w:val="28"/>
        </w:rPr>
        <w:t xml:space="preserve"> </w:t>
      </w:r>
    </w:p>
    <w:p w14:paraId="4B7DA7D3" w14:textId="168C485C" w:rsidR="00C82DA4" w:rsidRPr="00C82DA4" w:rsidRDefault="00B4131E" w:rsidP="00EA4088">
      <w:pPr>
        <w:ind w:left="360"/>
        <w:rPr>
          <w:bCs/>
          <w:sz w:val="28"/>
          <w:szCs w:val="28"/>
        </w:rPr>
      </w:pPr>
      <w:r>
        <w:rPr>
          <w:bCs/>
          <w:sz w:val="28"/>
          <w:szCs w:val="28"/>
        </w:rPr>
        <w:t>As above</w:t>
      </w:r>
    </w:p>
    <w:p w14:paraId="2E9C3939" w14:textId="77777777" w:rsidR="000A1318" w:rsidRDefault="000A1318" w:rsidP="00EA4088">
      <w:pPr>
        <w:ind w:left="360"/>
        <w:rPr>
          <w:b/>
          <w:bCs/>
          <w:sz w:val="28"/>
          <w:szCs w:val="28"/>
        </w:rPr>
      </w:pPr>
    </w:p>
    <w:p w14:paraId="258780F6" w14:textId="5ED53637" w:rsidR="001A5BB6" w:rsidRDefault="00BD2AEC" w:rsidP="00EA4088">
      <w:pPr>
        <w:ind w:left="360"/>
        <w:rPr>
          <w:b/>
          <w:bCs/>
          <w:sz w:val="28"/>
          <w:szCs w:val="28"/>
        </w:rPr>
      </w:pPr>
      <w:r>
        <w:rPr>
          <w:b/>
          <w:bCs/>
          <w:sz w:val="28"/>
          <w:szCs w:val="28"/>
        </w:rPr>
        <w:t>Marital Status</w:t>
      </w:r>
      <w:r w:rsidR="00C82DA4" w:rsidRPr="00C82DA4">
        <w:rPr>
          <w:b/>
          <w:bCs/>
          <w:sz w:val="28"/>
          <w:szCs w:val="28"/>
        </w:rPr>
        <w:t xml:space="preserve"> </w:t>
      </w:r>
      <w:r w:rsidR="001A5BB6">
        <w:rPr>
          <w:b/>
          <w:bCs/>
          <w:sz w:val="28"/>
          <w:szCs w:val="28"/>
        </w:rPr>
        <w:t>–</w:t>
      </w:r>
      <w:r>
        <w:rPr>
          <w:b/>
          <w:bCs/>
          <w:sz w:val="28"/>
          <w:szCs w:val="28"/>
        </w:rPr>
        <w:t xml:space="preserve"> </w:t>
      </w:r>
    </w:p>
    <w:p w14:paraId="11666519" w14:textId="3894B87C" w:rsidR="00C82DA4" w:rsidRPr="00C82DA4" w:rsidRDefault="00B4131E" w:rsidP="00EA4088">
      <w:pPr>
        <w:ind w:left="360"/>
        <w:rPr>
          <w:bCs/>
          <w:sz w:val="28"/>
          <w:szCs w:val="28"/>
        </w:rPr>
      </w:pPr>
      <w:r>
        <w:rPr>
          <w:bCs/>
          <w:sz w:val="28"/>
          <w:szCs w:val="28"/>
        </w:rPr>
        <w:lastRenderedPageBreak/>
        <w:t>As above</w:t>
      </w:r>
    </w:p>
    <w:p w14:paraId="204137DE" w14:textId="77777777" w:rsidR="000A1318" w:rsidRDefault="000A1318" w:rsidP="00EA4088">
      <w:pPr>
        <w:ind w:left="360"/>
        <w:rPr>
          <w:b/>
          <w:bCs/>
          <w:sz w:val="28"/>
          <w:szCs w:val="28"/>
        </w:rPr>
      </w:pPr>
    </w:p>
    <w:p w14:paraId="348DD597" w14:textId="3D78AEAD" w:rsidR="001A5BB6" w:rsidRDefault="00BD2AEC" w:rsidP="00EA4088">
      <w:pPr>
        <w:ind w:left="360"/>
        <w:rPr>
          <w:b/>
          <w:bCs/>
          <w:sz w:val="28"/>
          <w:szCs w:val="28"/>
        </w:rPr>
      </w:pPr>
      <w:r>
        <w:rPr>
          <w:b/>
          <w:bCs/>
          <w:sz w:val="28"/>
          <w:szCs w:val="28"/>
        </w:rPr>
        <w:t>Sexual Orientation</w:t>
      </w:r>
      <w:r w:rsidR="00C82DA4" w:rsidRPr="00C82DA4">
        <w:rPr>
          <w:b/>
          <w:bCs/>
          <w:sz w:val="28"/>
          <w:szCs w:val="28"/>
        </w:rPr>
        <w:t xml:space="preserve"> </w:t>
      </w:r>
      <w:r w:rsidR="001A5BB6">
        <w:rPr>
          <w:b/>
          <w:bCs/>
          <w:sz w:val="28"/>
          <w:szCs w:val="28"/>
        </w:rPr>
        <w:t>–</w:t>
      </w:r>
      <w:r>
        <w:rPr>
          <w:b/>
          <w:bCs/>
          <w:sz w:val="28"/>
          <w:szCs w:val="28"/>
        </w:rPr>
        <w:t xml:space="preserve"> </w:t>
      </w:r>
    </w:p>
    <w:p w14:paraId="4F752385" w14:textId="3EE637AD" w:rsidR="00C82DA4" w:rsidRPr="00C82DA4" w:rsidRDefault="00B4131E" w:rsidP="00EA4088">
      <w:pPr>
        <w:ind w:left="360"/>
        <w:rPr>
          <w:bCs/>
          <w:sz w:val="28"/>
          <w:szCs w:val="28"/>
        </w:rPr>
      </w:pPr>
      <w:r>
        <w:rPr>
          <w:bCs/>
          <w:sz w:val="28"/>
          <w:szCs w:val="28"/>
        </w:rPr>
        <w:t>As above</w:t>
      </w:r>
    </w:p>
    <w:p w14:paraId="5BE08C58" w14:textId="77777777" w:rsidR="000A1318" w:rsidRDefault="000A1318" w:rsidP="00EA4088">
      <w:pPr>
        <w:ind w:left="360"/>
        <w:rPr>
          <w:b/>
          <w:bCs/>
          <w:sz w:val="28"/>
          <w:szCs w:val="28"/>
        </w:rPr>
      </w:pPr>
    </w:p>
    <w:p w14:paraId="59D1F199" w14:textId="41A24D07" w:rsidR="001A5BB6" w:rsidRDefault="00BD2AEC" w:rsidP="00EA4088">
      <w:pPr>
        <w:ind w:left="360"/>
        <w:rPr>
          <w:b/>
          <w:bCs/>
          <w:sz w:val="28"/>
          <w:szCs w:val="28"/>
        </w:rPr>
      </w:pPr>
      <w:r>
        <w:rPr>
          <w:b/>
          <w:bCs/>
          <w:sz w:val="28"/>
          <w:szCs w:val="28"/>
        </w:rPr>
        <w:t xml:space="preserve">Men and Women generally </w:t>
      </w:r>
      <w:r w:rsidR="001A5BB6">
        <w:rPr>
          <w:b/>
          <w:bCs/>
          <w:sz w:val="28"/>
          <w:szCs w:val="28"/>
        </w:rPr>
        <w:t>–</w:t>
      </w:r>
      <w:r>
        <w:rPr>
          <w:b/>
          <w:bCs/>
          <w:sz w:val="28"/>
          <w:szCs w:val="28"/>
        </w:rPr>
        <w:t xml:space="preserve"> </w:t>
      </w:r>
    </w:p>
    <w:p w14:paraId="2FF18440" w14:textId="4AA2BBEE" w:rsidR="00C82DA4" w:rsidRPr="00C82DA4" w:rsidRDefault="00B4131E" w:rsidP="00EA4088">
      <w:pPr>
        <w:ind w:left="360"/>
        <w:rPr>
          <w:bCs/>
          <w:sz w:val="28"/>
          <w:szCs w:val="28"/>
        </w:rPr>
      </w:pPr>
      <w:r>
        <w:rPr>
          <w:bCs/>
          <w:sz w:val="28"/>
          <w:szCs w:val="28"/>
        </w:rPr>
        <w:t>As above</w:t>
      </w:r>
    </w:p>
    <w:p w14:paraId="5F6B6457" w14:textId="77777777" w:rsidR="000A1318" w:rsidRDefault="000A1318" w:rsidP="00EA4088">
      <w:pPr>
        <w:ind w:left="360"/>
        <w:rPr>
          <w:b/>
          <w:bCs/>
          <w:sz w:val="28"/>
          <w:szCs w:val="28"/>
        </w:rPr>
      </w:pPr>
    </w:p>
    <w:p w14:paraId="0A71E7C7" w14:textId="28143F3A" w:rsidR="001A5BB6" w:rsidRDefault="00BD2AEC" w:rsidP="00EA4088">
      <w:pPr>
        <w:ind w:left="360"/>
        <w:rPr>
          <w:b/>
          <w:bCs/>
          <w:sz w:val="28"/>
          <w:szCs w:val="28"/>
        </w:rPr>
      </w:pPr>
      <w:r>
        <w:rPr>
          <w:b/>
          <w:bCs/>
          <w:sz w:val="28"/>
          <w:szCs w:val="28"/>
        </w:rPr>
        <w:t>Disability</w:t>
      </w:r>
      <w:r w:rsidR="00C82DA4" w:rsidRPr="00C82DA4">
        <w:rPr>
          <w:b/>
          <w:bCs/>
          <w:sz w:val="28"/>
          <w:szCs w:val="28"/>
        </w:rPr>
        <w:t xml:space="preserve"> </w:t>
      </w:r>
      <w:r w:rsidR="001A5BB6">
        <w:rPr>
          <w:b/>
          <w:bCs/>
          <w:sz w:val="28"/>
          <w:szCs w:val="28"/>
        </w:rPr>
        <w:t>–</w:t>
      </w:r>
      <w:r>
        <w:rPr>
          <w:b/>
          <w:bCs/>
          <w:sz w:val="28"/>
          <w:szCs w:val="28"/>
        </w:rPr>
        <w:t xml:space="preserve"> </w:t>
      </w:r>
    </w:p>
    <w:p w14:paraId="1B31C407" w14:textId="39C0C556" w:rsidR="00C82DA4" w:rsidRPr="00C82DA4" w:rsidRDefault="00B4131E" w:rsidP="00EA4088">
      <w:pPr>
        <w:ind w:left="360"/>
        <w:rPr>
          <w:bCs/>
          <w:sz w:val="28"/>
          <w:szCs w:val="28"/>
        </w:rPr>
      </w:pPr>
      <w:r>
        <w:rPr>
          <w:bCs/>
          <w:sz w:val="28"/>
          <w:szCs w:val="28"/>
        </w:rPr>
        <w:t xml:space="preserve">As above </w:t>
      </w:r>
    </w:p>
    <w:p w14:paraId="5F3A0B05" w14:textId="77777777" w:rsidR="000A1318" w:rsidRDefault="000A1318" w:rsidP="00EA4088">
      <w:pPr>
        <w:ind w:left="360"/>
        <w:rPr>
          <w:b/>
          <w:bCs/>
          <w:sz w:val="28"/>
          <w:szCs w:val="28"/>
        </w:rPr>
      </w:pPr>
    </w:p>
    <w:p w14:paraId="2BCA5509" w14:textId="131265D6" w:rsidR="001A5BB6" w:rsidRDefault="00BD2AEC" w:rsidP="00EA4088">
      <w:pPr>
        <w:ind w:left="360"/>
        <w:rPr>
          <w:b/>
          <w:bCs/>
          <w:sz w:val="28"/>
          <w:szCs w:val="28"/>
        </w:rPr>
      </w:pPr>
      <w:r>
        <w:rPr>
          <w:b/>
          <w:bCs/>
          <w:sz w:val="28"/>
          <w:szCs w:val="28"/>
        </w:rPr>
        <w:t xml:space="preserve">Dependants </w:t>
      </w:r>
      <w:r w:rsidR="001A5BB6">
        <w:rPr>
          <w:b/>
          <w:bCs/>
          <w:sz w:val="28"/>
          <w:szCs w:val="28"/>
        </w:rPr>
        <w:t>–</w:t>
      </w:r>
    </w:p>
    <w:p w14:paraId="3E49E464" w14:textId="48A80C70" w:rsidR="00E17E34" w:rsidRDefault="00B4131E" w:rsidP="00E17E34">
      <w:pPr>
        <w:ind w:left="360"/>
        <w:rPr>
          <w:bCs/>
          <w:sz w:val="28"/>
          <w:szCs w:val="28"/>
          <w:u w:val="single"/>
        </w:rPr>
      </w:pPr>
      <w:r>
        <w:rPr>
          <w:bCs/>
          <w:sz w:val="28"/>
          <w:szCs w:val="28"/>
        </w:rPr>
        <w:t>As above</w:t>
      </w:r>
    </w:p>
    <w:p w14:paraId="28C1B47B" w14:textId="77777777" w:rsidR="00E17E34" w:rsidRDefault="00E17E34" w:rsidP="00E17E34">
      <w:pPr>
        <w:ind w:left="360"/>
        <w:rPr>
          <w:bCs/>
          <w:sz w:val="28"/>
          <w:szCs w:val="28"/>
          <w:u w:val="single"/>
        </w:rPr>
      </w:pPr>
    </w:p>
    <w:p w14:paraId="7B32BBAD" w14:textId="5FE0989A" w:rsidR="00FA2356" w:rsidRPr="008779A1" w:rsidRDefault="00FA2356" w:rsidP="001A5BB6">
      <w:pPr>
        <w:pStyle w:val="ListParagraph"/>
        <w:numPr>
          <w:ilvl w:val="0"/>
          <w:numId w:val="14"/>
        </w:numPr>
      </w:pPr>
      <w:r w:rsidRPr="001A5BB6">
        <w:rPr>
          <w:rFonts w:cs="Arial"/>
          <w:b/>
          <w:bCs/>
          <w:sz w:val="28"/>
          <w:szCs w:val="28"/>
        </w:rPr>
        <w:t xml:space="preserve">To what extent is the policy likely to impact on good relations between people of different religious belief, political opinion </w:t>
      </w:r>
      <w:r w:rsidR="00F41683" w:rsidRPr="001A5BB6">
        <w:rPr>
          <w:rFonts w:cs="Arial"/>
          <w:b/>
          <w:bCs/>
          <w:sz w:val="28"/>
          <w:szCs w:val="28"/>
        </w:rPr>
        <w:t xml:space="preserve">or racial group? </w:t>
      </w:r>
    </w:p>
    <w:p w14:paraId="6456C678" w14:textId="77777777" w:rsidR="008779A1" w:rsidRPr="00F41683" w:rsidRDefault="008779A1" w:rsidP="00F41683">
      <w:pPr>
        <w:autoSpaceDE w:val="0"/>
        <w:autoSpaceDN w:val="0"/>
        <w:adjustRightInd w:val="0"/>
        <w:rPr>
          <w:rFonts w:cs="Arial"/>
          <w:bCs/>
          <w:sz w:val="28"/>
          <w:szCs w:val="28"/>
        </w:rPr>
      </w:pPr>
    </w:p>
    <w:p w14:paraId="7008D5B6"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1DFBAB71" w14:textId="77777777" w:rsidR="008779A1" w:rsidRPr="008779A1" w:rsidRDefault="008779A1" w:rsidP="008779A1">
      <w:pPr>
        <w:autoSpaceDE w:val="0"/>
        <w:autoSpaceDN w:val="0"/>
        <w:adjustRightInd w:val="0"/>
        <w:rPr>
          <w:rFonts w:cs="Arial"/>
          <w:bCs/>
          <w:sz w:val="28"/>
          <w:szCs w:val="28"/>
        </w:rPr>
      </w:pPr>
    </w:p>
    <w:p w14:paraId="4B56D124" w14:textId="77777777" w:rsidR="001A5BB6"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p>
    <w:p w14:paraId="6443D6D1" w14:textId="77777777" w:rsidR="00A158D1" w:rsidRDefault="00A158D1" w:rsidP="00A158D1">
      <w:pPr>
        <w:pStyle w:val="ListParagraph"/>
        <w:autoSpaceDE w:val="0"/>
        <w:autoSpaceDN w:val="0"/>
        <w:adjustRightInd w:val="0"/>
        <w:ind w:left="360"/>
        <w:jc w:val="both"/>
        <w:rPr>
          <w:rFonts w:cs="Arial"/>
          <w:sz w:val="28"/>
          <w:szCs w:val="28"/>
        </w:rPr>
      </w:pPr>
    </w:p>
    <w:p w14:paraId="592955CC" w14:textId="4CBC1344" w:rsidR="00A158D1" w:rsidRDefault="00A158D1" w:rsidP="00A158D1">
      <w:pPr>
        <w:pStyle w:val="ListParagraph"/>
        <w:autoSpaceDE w:val="0"/>
        <w:autoSpaceDN w:val="0"/>
        <w:adjustRightInd w:val="0"/>
        <w:ind w:left="360"/>
        <w:jc w:val="both"/>
        <w:rPr>
          <w:rFonts w:cs="Arial"/>
          <w:sz w:val="28"/>
          <w:szCs w:val="28"/>
        </w:rPr>
      </w:pPr>
      <w:r w:rsidRPr="00BA6268">
        <w:rPr>
          <w:rFonts w:cs="Arial"/>
          <w:sz w:val="28"/>
          <w:szCs w:val="28"/>
        </w:rPr>
        <w:t xml:space="preserve">The </w:t>
      </w:r>
      <w:r w:rsidR="00A26B5A">
        <w:rPr>
          <w:rFonts w:cs="Arial"/>
          <w:sz w:val="28"/>
          <w:szCs w:val="28"/>
        </w:rPr>
        <w:t>proposal</w:t>
      </w:r>
      <w:r w:rsidR="00A26B5A" w:rsidRPr="00BA6268">
        <w:rPr>
          <w:rFonts w:cs="Arial"/>
          <w:sz w:val="28"/>
          <w:szCs w:val="28"/>
        </w:rPr>
        <w:t xml:space="preserve"> </w:t>
      </w:r>
      <w:r w:rsidRPr="00BA6268">
        <w:rPr>
          <w:rFonts w:cs="Arial"/>
          <w:sz w:val="28"/>
          <w:szCs w:val="28"/>
        </w:rPr>
        <w:t xml:space="preserve">is technical in nature and will have no </w:t>
      </w:r>
      <w:r>
        <w:rPr>
          <w:rFonts w:cs="Arial"/>
          <w:sz w:val="28"/>
          <w:szCs w:val="28"/>
        </w:rPr>
        <w:t>bearing in terms of its likely policy impact</w:t>
      </w:r>
      <w:r w:rsidR="0077006E">
        <w:rPr>
          <w:rFonts w:cs="Arial"/>
          <w:sz w:val="28"/>
          <w:szCs w:val="28"/>
        </w:rPr>
        <w:t xml:space="preserve"> on religious belief.</w:t>
      </w:r>
      <w:r w:rsidR="0068301E">
        <w:rPr>
          <w:rFonts w:cs="Arial"/>
          <w:sz w:val="28"/>
          <w:szCs w:val="28"/>
        </w:rPr>
        <w:t xml:space="preserve">  Any responses to the consultation that indicate potential impacts will be considered.</w:t>
      </w:r>
      <w:r w:rsidR="0077006E">
        <w:rPr>
          <w:rFonts w:cs="Arial"/>
          <w:sz w:val="28"/>
          <w:szCs w:val="28"/>
        </w:rPr>
        <w:t xml:space="preserve">  </w:t>
      </w:r>
    </w:p>
    <w:p w14:paraId="21CD59B0" w14:textId="77777777" w:rsidR="00A158D1" w:rsidRPr="00BA6268" w:rsidRDefault="00A158D1" w:rsidP="00A158D1">
      <w:pPr>
        <w:pStyle w:val="ListParagraph"/>
        <w:autoSpaceDE w:val="0"/>
        <w:autoSpaceDN w:val="0"/>
        <w:adjustRightInd w:val="0"/>
        <w:ind w:left="360"/>
        <w:jc w:val="both"/>
        <w:rPr>
          <w:rFonts w:cs="Arial"/>
          <w:sz w:val="28"/>
          <w:szCs w:val="28"/>
        </w:rPr>
      </w:pPr>
    </w:p>
    <w:p w14:paraId="10D61277" w14:textId="2807209C" w:rsidR="00A448DE" w:rsidRDefault="00A448DE" w:rsidP="00A158D1">
      <w:pPr>
        <w:autoSpaceDE w:val="0"/>
        <w:autoSpaceDN w:val="0"/>
        <w:adjustRightInd w:val="0"/>
        <w:ind w:left="360"/>
        <w:rPr>
          <w:rFonts w:cs="Arial"/>
          <w:sz w:val="28"/>
          <w:szCs w:val="28"/>
        </w:rPr>
      </w:pPr>
      <w:bookmarkStart w:id="5" w:name="_Hlk153546425"/>
      <w:r>
        <w:rPr>
          <w:rFonts w:cs="Arial"/>
          <w:sz w:val="28"/>
          <w:szCs w:val="28"/>
        </w:rPr>
        <w:t xml:space="preserve">Future implementation of specific policies or projects which are enabled by </w:t>
      </w:r>
      <w:r w:rsidR="00A26B5A">
        <w:rPr>
          <w:rFonts w:cs="Arial"/>
          <w:sz w:val="28"/>
          <w:szCs w:val="28"/>
        </w:rPr>
        <w:t>these provisions</w:t>
      </w:r>
      <w:r>
        <w:rPr>
          <w:rFonts w:cs="Arial"/>
          <w:sz w:val="28"/>
          <w:szCs w:val="28"/>
        </w:rPr>
        <w:t xml:space="preserve"> will be </w:t>
      </w:r>
      <w:r w:rsidRPr="00A448DE">
        <w:rPr>
          <w:rFonts w:cs="Arial"/>
          <w:sz w:val="28"/>
          <w:szCs w:val="28"/>
        </w:rPr>
        <w:t>considered in accordance with DfE’s Equality Scheme</w:t>
      </w:r>
      <w:r>
        <w:rPr>
          <w:rFonts w:cs="Arial"/>
          <w:sz w:val="28"/>
          <w:szCs w:val="28"/>
        </w:rPr>
        <w:t xml:space="preserve"> and any potential impacts on religious belief will be considered on a case by case basis by the relevant policy / project lead.   </w:t>
      </w:r>
    </w:p>
    <w:bookmarkEnd w:id="5"/>
    <w:p w14:paraId="2E8B5E67" w14:textId="77777777" w:rsidR="00A448DE" w:rsidRDefault="00A448DE" w:rsidP="00A158D1">
      <w:pPr>
        <w:autoSpaceDE w:val="0"/>
        <w:autoSpaceDN w:val="0"/>
        <w:adjustRightInd w:val="0"/>
        <w:ind w:left="360"/>
        <w:rPr>
          <w:rFonts w:cs="Arial"/>
          <w:sz w:val="28"/>
          <w:szCs w:val="28"/>
        </w:rPr>
      </w:pPr>
    </w:p>
    <w:p w14:paraId="4C46F5FC" w14:textId="53EA3AC9" w:rsidR="008779A1" w:rsidRPr="0096413F" w:rsidRDefault="008779A1" w:rsidP="00A158D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9579F22" w14:textId="77777777" w:rsidR="008779A1" w:rsidRDefault="008779A1" w:rsidP="008779A1">
      <w:pPr>
        <w:pStyle w:val="ListParagraph"/>
        <w:autoSpaceDE w:val="0"/>
        <w:autoSpaceDN w:val="0"/>
        <w:adjustRightInd w:val="0"/>
        <w:ind w:left="360"/>
        <w:rPr>
          <w:rFonts w:cs="Arial"/>
          <w:bCs/>
          <w:sz w:val="28"/>
          <w:szCs w:val="28"/>
        </w:rPr>
      </w:pPr>
    </w:p>
    <w:p w14:paraId="1E87EA6B" w14:textId="77777777" w:rsidR="001A5BB6"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p>
    <w:p w14:paraId="678B5313" w14:textId="53AFE892" w:rsidR="007B0CF0" w:rsidRDefault="007B0CF0" w:rsidP="007B0CF0">
      <w:pPr>
        <w:pStyle w:val="ListParagraph"/>
        <w:autoSpaceDE w:val="0"/>
        <w:autoSpaceDN w:val="0"/>
        <w:adjustRightInd w:val="0"/>
        <w:ind w:left="360"/>
        <w:jc w:val="both"/>
        <w:rPr>
          <w:rFonts w:cs="Arial"/>
          <w:sz w:val="28"/>
          <w:szCs w:val="28"/>
        </w:rPr>
      </w:pPr>
      <w:r w:rsidRPr="00BA6268">
        <w:rPr>
          <w:rFonts w:cs="Arial"/>
          <w:sz w:val="28"/>
          <w:szCs w:val="28"/>
        </w:rPr>
        <w:t xml:space="preserve">The </w:t>
      </w:r>
      <w:r w:rsidR="00A26B5A">
        <w:rPr>
          <w:rFonts w:cs="Arial"/>
          <w:sz w:val="28"/>
          <w:szCs w:val="28"/>
        </w:rPr>
        <w:t xml:space="preserve">proposal </w:t>
      </w:r>
      <w:r w:rsidRPr="00BA6268">
        <w:rPr>
          <w:rFonts w:cs="Arial"/>
          <w:sz w:val="28"/>
          <w:szCs w:val="28"/>
        </w:rPr>
        <w:t xml:space="preserve">is technical in nature and will have no </w:t>
      </w:r>
      <w:r>
        <w:rPr>
          <w:rFonts w:cs="Arial"/>
          <w:sz w:val="28"/>
          <w:szCs w:val="28"/>
        </w:rPr>
        <w:t>bearing in terms of its likely policy impact on political opinion.</w:t>
      </w:r>
      <w:r w:rsidR="0068301E">
        <w:rPr>
          <w:rFonts w:cs="Arial"/>
          <w:sz w:val="28"/>
          <w:szCs w:val="28"/>
        </w:rPr>
        <w:t xml:space="preserve">  Any responses to the consultation that indicate potential impacts will be considered.</w:t>
      </w:r>
      <w:r>
        <w:rPr>
          <w:rFonts w:cs="Arial"/>
          <w:sz w:val="28"/>
          <w:szCs w:val="28"/>
        </w:rPr>
        <w:t xml:space="preserve">  </w:t>
      </w:r>
    </w:p>
    <w:p w14:paraId="66FEFE28" w14:textId="77777777" w:rsidR="007B0CF0" w:rsidRPr="00BA6268" w:rsidRDefault="007B0CF0" w:rsidP="007B0CF0">
      <w:pPr>
        <w:pStyle w:val="ListParagraph"/>
        <w:autoSpaceDE w:val="0"/>
        <w:autoSpaceDN w:val="0"/>
        <w:adjustRightInd w:val="0"/>
        <w:ind w:left="360"/>
        <w:jc w:val="both"/>
        <w:rPr>
          <w:rFonts w:cs="Arial"/>
          <w:sz w:val="28"/>
          <w:szCs w:val="28"/>
        </w:rPr>
      </w:pPr>
    </w:p>
    <w:p w14:paraId="4D29C224" w14:textId="66715887" w:rsidR="00A448DE" w:rsidRDefault="00A448DE" w:rsidP="00A448DE">
      <w:pPr>
        <w:autoSpaceDE w:val="0"/>
        <w:autoSpaceDN w:val="0"/>
        <w:adjustRightInd w:val="0"/>
        <w:ind w:left="360"/>
        <w:rPr>
          <w:rFonts w:cs="Arial"/>
          <w:sz w:val="28"/>
          <w:szCs w:val="28"/>
        </w:rPr>
      </w:pPr>
      <w:r>
        <w:rPr>
          <w:rFonts w:cs="Arial"/>
          <w:sz w:val="28"/>
          <w:szCs w:val="28"/>
        </w:rPr>
        <w:t xml:space="preserve">Future implementation of specific policies or projects which are enabled by </w:t>
      </w:r>
      <w:r w:rsidR="00A26B5A">
        <w:rPr>
          <w:rFonts w:cs="Arial"/>
          <w:sz w:val="28"/>
          <w:szCs w:val="28"/>
        </w:rPr>
        <w:t>these provisions</w:t>
      </w:r>
      <w:r>
        <w:rPr>
          <w:rFonts w:cs="Arial"/>
          <w:sz w:val="28"/>
          <w:szCs w:val="28"/>
        </w:rPr>
        <w:t xml:space="preserve"> will be </w:t>
      </w:r>
      <w:r w:rsidRPr="00A448DE">
        <w:rPr>
          <w:rFonts w:cs="Arial"/>
          <w:sz w:val="28"/>
          <w:szCs w:val="28"/>
        </w:rPr>
        <w:t xml:space="preserve">considered in accordance with DfE’s Equality </w:t>
      </w:r>
      <w:r w:rsidRPr="00A448DE">
        <w:rPr>
          <w:rFonts w:cs="Arial"/>
          <w:sz w:val="28"/>
          <w:szCs w:val="28"/>
        </w:rPr>
        <w:lastRenderedPageBreak/>
        <w:t>Scheme</w:t>
      </w:r>
      <w:r>
        <w:rPr>
          <w:rFonts w:cs="Arial"/>
          <w:sz w:val="28"/>
          <w:szCs w:val="28"/>
        </w:rPr>
        <w:t xml:space="preserve"> and any potential impacts on political opinion will be considered on a case by case basis by the relevant policy / project lead. </w:t>
      </w:r>
    </w:p>
    <w:p w14:paraId="1BAC187C" w14:textId="34341581" w:rsidR="00A448DE" w:rsidRDefault="00A448DE" w:rsidP="00A448DE">
      <w:pPr>
        <w:autoSpaceDE w:val="0"/>
        <w:autoSpaceDN w:val="0"/>
        <w:adjustRightInd w:val="0"/>
        <w:ind w:left="360"/>
        <w:rPr>
          <w:rFonts w:cs="Arial"/>
          <w:sz w:val="28"/>
          <w:szCs w:val="28"/>
        </w:rPr>
      </w:pPr>
      <w:r>
        <w:rPr>
          <w:rFonts w:cs="Arial"/>
          <w:sz w:val="28"/>
          <w:szCs w:val="28"/>
        </w:rPr>
        <w:t xml:space="preserve">  </w:t>
      </w:r>
    </w:p>
    <w:p w14:paraId="152C2284" w14:textId="2F96501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934CD8F" w14:textId="77777777" w:rsidR="008779A1" w:rsidRDefault="008779A1" w:rsidP="008779A1">
      <w:pPr>
        <w:pStyle w:val="ListParagraph"/>
        <w:autoSpaceDE w:val="0"/>
        <w:autoSpaceDN w:val="0"/>
        <w:adjustRightInd w:val="0"/>
        <w:ind w:left="360"/>
        <w:rPr>
          <w:rFonts w:cs="Arial"/>
          <w:bCs/>
          <w:sz w:val="28"/>
          <w:szCs w:val="28"/>
        </w:rPr>
      </w:pPr>
    </w:p>
    <w:p w14:paraId="62093354" w14:textId="77777777" w:rsidR="001A5BB6"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p>
    <w:p w14:paraId="14D4590C" w14:textId="4AAD19C8" w:rsidR="007B0CF0" w:rsidRDefault="007B0CF0" w:rsidP="007B0CF0">
      <w:pPr>
        <w:pStyle w:val="ListParagraph"/>
        <w:autoSpaceDE w:val="0"/>
        <w:autoSpaceDN w:val="0"/>
        <w:adjustRightInd w:val="0"/>
        <w:ind w:left="360"/>
        <w:jc w:val="both"/>
        <w:rPr>
          <w:rFonts w:cs="Arial"/>
          <w:sz w:val="28"/>
          <w:szCs w:val="28"/>
        </w:rPr>
      </w:pPr>
      <w:r w:rsidRPr="00BA6268">
        <w:rPr>
          <w:rFonts w:cs="Arial"/>
          <w:sz w:val="28"/>
          <w:szCs w:val="28"/>
        </w:rPr>
        <w:t xml:space="preserve">The </w:t>
      </w:r>
      <w:r w:rsidR="00A26B5A">
        <w:rPr>
          <w:rFonts w:cs="Arial"/>
          <w:sz w:val="28"/>
          <w:szCs w:val="28"/>
        </w:rPr>
        <w:t>proposal</w:t>
      </w:r>
      <w:r w:rsidRPr="00BA6268">
        <w:rPr>
          <w:rFonts w:cs="Arial"/>
          <w:sz w:val="28"/>
          <w:szCs w:val="28"/>
        </w:rPr>
        <w:t xml:space="preserve"> is technical in nature and will have no </w:t>
      </w:r>
      <w:r>
        <w:rPr>
          <w:rFonts w:cs="Arial"/>
          <w:sz w:val="28"/>
          <w:szCs w:val="28"/>
        </w:rPr>
        <w:t>bearing in terms of its likely policy impact on racial group.</w:t>
      </w:r>
      <w:r w:rsidR="0068301E">
        <w:rPr>
          <w:rFonts w:cs="Arial"/>
          <w:sz w:val="28"/>
          <w:szCs w:val="28"/>
        </w:rPr>
        <w:t xml:space="preserve">  Any responses to the consultation that indicate potential impacts will be considered.</w:t>
      </w:r>
      <w:r>
        <w:rPr>
          <w:rFonts w:cs="Arial"/>
          <w:sz w:val="28"/>
          <w:szCs w:val="28"/>
        </w:rPr>
        <w:t xml:space="preserve">  </w:t>
      </w:r>
    </w:p>
    <w:p w14:paraId="3168CB8C" w14:textId="77777777" w:rsidR="007B0CF0" w:rsidRPr="00BA6268" w:rsidRDefault="007B0CF0" w:rsidP="007B0CF0">
      <w:pPr>
        <w:pStyle w:val="ListParagraph"/>
        <w:autoSpaceDE w:val="0"/>
        <w:autoSpaceDN w:val="0"/>
        <w:adjustRightInd w:val="0"/>
        <w:ind w:left="360"/>
        <w:jc w:val="both"/>
        <w:rPr>
          <w:rFonts w:cs="Arial"/>
          <w:sz w:val="28"/>
          <w:szCs w:val="28"/>
        </w:rPr>
      </w:pPr>
    </w:p>
    <w:p w14:paraId="5CEBAE60" w14:textId="29D829F3" w:rsidR="00A448DE" w:rsidRDefault="00A448DE" w:rsidP="00A448DE">
      <w:pPr>
        <w:autoSpaceDE w:val="0"/>
        <w:autoSpaceDN w:val="0"/>
        <w:adjustRightInd w:val="0"/>
        <w:ind w:left="360"/>
        <w:rPr>
          <w:rFonts w:cs="Arial"/>
          <w:sz w:val="28"/>
          <w:szCs w:val="28"/>
        </w:rPr>
      </w:pPr>
      <w:r>
        <w:rPr>
          <w:rFonts w:cs="Arial"/>
          <w:sz w:val="28"/>
          <w:szCs w:val="28"/>
        </w:rPr>
        <w:t xml:space="preserve">Future implementation of specific policies or projects which are enabled by </w:t>
      </w:r>
      <w:r w:rsidR="00A26B5A">
        <w:rPr>
          <w:rFonts w:cs="Arial"/>
          <w:sz w:val="28"/>
          <w:szCs w:val="28"/>
        </w:rPr>
        <w:t>these provisions</w:t>
      </w:r>
      <w:r>
        <w:rPr>
          <w:rFonts w:cs="Arial"/>
          <w:sz w:val="28"/>
          <w:szCs w:val="28"/>
        </w:rPr>
        <w:t xml:space="preserve"> will be </w:t>
      </w:r>
      <w:r w:rsidRPr="00A448DE">
        <w:rPr>
          <w:rFonts w:cs="Arial"/>
          <w:sz w:val="28"/>
          <w:szCs w:val="28"/>
        </w:rPr>
        <w:t>considered in accordance with DfE’s Equality Scheme</w:t>
      </w:r>
      <w:r>
        <w:rPr>
          <w:rFonts w:cs="Arial"/>
          <w:sz w:val="28"/>
          <w:szCs w:val="28"/>
        </w:rPr>
        <w:t xml:space="preserve"> and any potential impacts on </w:t>
      </w:r>
      <w:r w:rsidR="00F02D1F">
        <w:rPr>
          <w:rFonts w:cs="Arial"/>
          <w:sz w:val="28"/>
          <w:szCs w:val="28"/>
        </w:rPr>
        <w:t>racial group</w:t>
      </w:r>
      <w:r>
        <w:rPr>
          <w:rFonts w:cs="Arial"/>
          <w:sz w:val="28"/>
          <w:szCs w:val="28"/>
        </w:rPr>
        <w:t xml:space="preserve"> will be considered on a case by case basis by the relevant policy / project lead. </w:t>
      </w:r>
    </w:p>
    <w:p w14:paraId="2FEAB771" w14:textId="77777777" w:rsidR="007B0CF0" w:rsidRDefault="007B0CF0" w:rsidP="00F02D1F">
      <w:pPr>
        <w:autoSpaceDE w:val="0"/>
        <w:autoSpaceDN w:val="0"/>
        <w:adjustRightInd w:val="0"/>
        <w:rPr>
          <w:rFonts w:cs="Arial"/>
          <w:sz w:val="28"/>
          <w:szCs w:val="28"/>
        </w:rPr>
      </w:pPr>
    </w:p>
    <w:p w14:paraId="788D0697" w14:textId="4F523350" w:rsidR="001A5BB6" w:rsidRDefault="008779A1" w:rsidP="00E17E34">
      <w:pPr>
        <w:autoSpaceDE w:val="0"/>
        <w:autoSpaceDN w:val="0"/>
        <w:adjustRightInd w:val="0"/>
        <w:ind w:left="360"/>
        <w:rPr>
          <w:rFonts w:cs="Arial"/>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C9BA063" w14:textId="77777777" w:rsidR="001A5BB6" w:rsidRDefault="001A5BB6" w:rsidP="00E17E34">
      <w:pPr>
        <w:autoSpaceDE w:val="0"/>
        <w:autoSpaceDN w:val="0"/>
        <w:adjustRightInd w:val="0"/>
        <w:ind w:left="360"/>
        <w:rPr>
          <w:rFonts w:cs="Arial"/>
          <w:sz w:val="28"/>
          <w:szCs w:val="28"/>
        </w:rPr>
      </w:pPr>
    </w:p>
    <w:p w14:paraId="5E086FC5" w14:textId="7E285C80" w:rsidR="00E91D60" w:rsidRPr="001A5BB6" w:rsidRDefault="00FA2356" w:rsidP="001A5BB6">
      <w:pPr>
        <w:pStyle w:val="ListParagraph"/>
        <w:numPr>
          <w:ilvl w:val="0"/>
          <w:numId w:val="14"/>
        </w:numPr>
        <w:autoSpaceDE w:val="0"/>
        <w:autoSpaceDN w:val="0"/>
        <w:adjustRightInd w:val="0"/>
        <w:rPr>
          <w:b/>
          <w:bCs/>
        </w:rPr>
      </w:pPr>
      <w:r w:rsidRPr="001A5BB6">
        <w:rPr>
          <w:rFonts w:cs="Arial"/>
          <w:b/>
          <w:bCs/>
          <w:sz w:val="28"/>
          <w:szCs w:val="28"/>
        </w:rPr>
        <w:t>Are there opportunities to better promote good relations between people of different religious belief, political opinion or racial group?</w:t>
      </w:r>
    </w:p>
    <w:p w14:paraId="04B4B482" w14:textId="77777777" w:rsidR="006A1D34" w:rsidRDefault="006A1D34" w:rsidP="006A1D34">
      <w:pPr>
        <w:pStyle w:val="ListParagraph"/>
        <w:ind w:left="360"/>
        <w:rPr>
          <w:rFonts w:cs="Arial"/>
          <w:b/>
          <w:bCs/>
          <w:sz w:val="28"/>
          <w:szCs w:val="28"/>
        </w:rPr>
      </w:pPr>
    </w:p>
    <w:p w14:paraId="237D8DD6"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22B6FD79" w14:textId="77777777" w:rsidR="00EA4088" w:rsidRDefault="00EA4088" w:rsidP="00EA4088">
      <w:pPr>
        <w:rPr>
          <w:b/>
          <w:bCs/>
          <w:sz w:val="28"/>
          <w:szCs w:val="28"/>
        </w:rPr>
      </w:pPr>
    </w:p>
    <w:p w14:paraId="495BA7DC" w14:textId="7C07207C" w:rsidR="001A5BB6" w:rsidRDefault="00EA4088" w:rsidP="00EA4088">
      <w:pPr>
        <w:ind w:left="360"/>
        <w:rPr>
          <w:b/>
          <w:bCs/>
          <w:sz w:val="28"/>
          <w:szCs w:val="28"/>
        </w:rPr>
      </w:pPr>
      <w:r w:rsidRPr="00C82DA4">
        <w:rPr>
          <w:b/>
          <w:bCs/>
          <w:sz w:val="28"/>
          <w:szCs w:val="28"/>
        </w:rPr>
        <w:t xml:space="preserve">Religious Belief </w:t>
      </w:r>
      <w:r w:rsidR="001A5BB6">
        <w:rPr>
          <w:b/>
          <w:bCs/>
          <w:sz w:val="28"/>
          <w:szCs w:val="28"/>
        </w:rPr>
        <w:t>–</w:t>
      </w:r>
      <w:r>
        <w:rPr>
          <w:b/>
          <w:bCs/>
          <w:sz w:val="28"/>
          <w:szCs w:val="28"/>
        </w:rPr>
        <w:t xml:space="preserve"> </w:t>
      </w:r>
    </w:p>
    <w:p w14:paraId="2176AB57" w14:textId="3FEEAD79" w:rsidR="007B0CF0" w:rsidRDefault="007B0CF0" w:rsidP="007B0CF0">
      <w:pPr>
        <w:pStyle w:val="ListParagraph"/>
        <w:autoSpaceDE w:val="0"/>
        <w:autoSpaceDN w:val="0"/>
        <w:adjustRightInd w:val="0"/>
        <w:ind w:left="360"/>
        <w:jc w:val="both"/>
        <w:rPr>
          <w:rFonts w:cs="Arial"/>
          <w:sz w:val="28"/>
          <w:szCs w:val="28"/>
        </w:rPr>
      </w:pPr>
      <w:r w:rsidRPr="00BA6268">
        <w:rPr>
          <w:rFonts w:cs="Arial"/>
          <w:sz w:val="28"/>
          <w:szCs w:val="28"/>
        </w:rPr>
        <w:t xml:space="preserve">The </w:t>
      </w:r>
      <w:r w:rsidR="00A26B5A">
        <w:rPr>
          <w:rFonts w:cs="Arial"/>
          <w:sz w:val="28"/>
          <w:szCs w:val="28"/>
        </w:rPr>
        <w:t>proposal</w:t>
      </w:r>
      <w:r w:rsidR="00A26B5A" w:rsidRPr="00BA6268">
        <w:rPr>
          <w:rFonts w:cs="Arial"/>
          <w:sz w:val="28"/>
          <w:szCs w:val="28"/>
        </w:rPr>
        <w:t xml:space="preserve"> </w:t>
      </w:r>
      <w:r w:rsidRPr="00BA6268">
        <w:rPr>
          <w:rFonts w:cs="Arial"/>
          <w:sz w:val="28"/>
          <w:szCs w:val="28"/>
        </w:rPr>
        <w:t xml:space="preserve">is technical in nature and will have no </w:t>
      </w:r>
      <w:r>
        <w:rPr>
          <w:rFonts w:cs="Arial"/>
          <w:sz w:val="28"/>
          <w:szCs w:val="28"/>
        </w:rPr>
        <w:t>bearing in terms of</w:t>
      </w:r>
      <w:r w:rsidR="00263134" w:rsidRPr="001A5BB6">
        <w:rPr>
          <w:rFonts w:cs="Arial"/>
          <w:b/>
          <w:bCs/>
          <w:sz w:val="28"/>
          <w:szCs w:val="28"/>
        </w:rPr>
        <w:t xml:space="preserve"> </w:t>
      </w:r>
      <w:r w:rsidR="00263134" w:rsidRPr="00263134">
        <w:rPr>
          <w:rFonts w:cs="Arial"/>
          <w:sz w:val="28"/>
          <w:szCs w:val="28"/>
        </w:rPr>
        <w:t>opportunities to better promote good relations between people of different religious belief, political opinion or racial group</w:t>
      </w:r>
      <w:r w:rsidR="006F51AE">
        <w:rPr>
          <w:rFonts w:cs="Arial"/>
          <w:sz w:val="28"/>
          <w:szCs w:val="28"/>
        </w:rPr>
        <w:t>.</w:t>
      </w:r>
      <w:r w:rsidR="0068301E">
        <w:rPr>
          <w:rFonts w:cs="Arial"/>
          <w:sz w:val="28"/>
          <w:szCs w:val="28"/>
        </w:rPr>
        <w:t xml:space="preserve">  Any responses to the consultation that indicate potential opportunities will be considered.</w:t>
      </w:r>
    </w:p>
    <w:p w14:paraId="6097EFB6" w14:textId="77777777" w:rsidR="007B0CF0" w:rsidRPr="00BA6268" w:rsidRDefault="007B0CF0" w:rsidP="007B0CF0">
      <w:pPr>
        <w:pStyle w:val="ListParagraph"/>
        <w:autoSpaceDE w:val="0"/>
        <w:autoSpaceDN w:val="0"/>
        <w:adjustRightInd w:val="0"/>
        <w:ind w:left="360"/>
        <w:jc w:val="both"/>
        <w:rPr>
          <w:rFonts w:cs="Arial"/>
          <w:sz w:val="28"/>
          <w:szCs w:val="28"/>
        </w:rPr>
      </w:pPr>
    </w:p>
    <w:p w14:paraId="19629A4B" w14:textId="50158339" w:rsidR="00F02D1F" w:rsidRDefault="00F02D1F" w:rsidP="00F02D1F">
      <w:pPr>
        <w:autoSpaceDE w:val="0"/>
        <w:autoSpaceDN w:val="0"/>
        <w:adjustRightInd w:val="0"/>
        <w:ind w:left="360"/>
        <w:rPr>
          <w:rFonts w:cs="Arial"/>
          <w:sz w:val="28"/>
          <w:szCs w:val="28"/>
        </w:rPr>
      </w:pPr>
      <w:r>
        <w:rPr>
          <w:rFonts w:cs="Arial"/>
          <w:sz w:val="28"/>
          <w:szCs w:val="28"/>
        </w:rPr>
        <w:t xml:space="preserve">Future implementation of specific policies or projects which are enabled by </w:t>
      </w:r>
      <w:r w:rsidR="00A26B5A">
        <w:rPr>
          <w:rFonts w:cs="Arial"/>
          <w:sz w:val="28"/>
          <w:szCs w:val="28"/>
        </w:rPr>
        <w:t>these provisions</w:t>
      </w:r>
      <w:r>
        <w:rPr>
          <w:rFonts w:cs="Arial"/>
          <w:sz w:val="28"/>
          <w:szCs w:val="28"/>
        </w:rPr>
        <w:t xml:space="preserve"> will be </w:t>
      </w:r>
      <w:r w:rsidRPr="00A448DE">
        <w:rPr>
          <w:rFonts w:cs="Arial"/>
          <w:sz w:val="28"/>
          <w:szCs w:val="28"/>
        </w:rPr>
        <w:t>considered in accordance with DfE’s Equality Scheme</w:t>
      </w:r>
      <w:r>
        <w:rPr>
          <w:rFonts w:cs="Arial"/>
          <w:sz w:val="28"/>
          <w:szCs w:val="28"/>
        </w:rPr>
        <w:t xml:space="preserve"> and opportunities to better promote </w:t>
      </w:r>
      <w:r w:rsidRPr="006F51AE">
        <w:rPr>
          <w:rFonts w:cs="Arial"/>
          <w:sz w:val="28"/>
          <w:szCs w:val="28"/>
        </w:rPr>
        <w:t>good relations between people of different religious belief, political opinion or racial group</w:t>
      </w:r>
      <w:r>
        <w:rPr>
          <w:rFonts w:cs="Arial"/>
          <w:sz w:val="28"/>
          <w:szCs w:val="28"/>
        </w:rPr>
        <w:t xml:space="preserve"> will be considered on a case by case basis by the relevant policy / project lead. </w:t>
      </w:r>
    </w:p>
    <w:p w14:paraId="286DC23D" w14:textId="77777777" w:rsidR="00F02D1F" w:rsidRDefault="00F02D1F" w:rsidP="00F02D1F">
      <w:pPr>
        <w:autoSpaceDE w:val="0"/>
        <w:autoSpaceDN w:val="0"/>
        <w:adjustRightInd w:val="0"/>
        <w:ind w:left="360"/>
        <w:rPr>
          <w:rFonts w:cs="Arial"/>
          <w:sz w:val="28"/>
          <w:szCs w:val="28"/>
        </w:rPr>
      </w:pPr>
    </w:p>
    <w:p w14:paraId="387630D4" w14:textId="6B3FC9E2" w:rsidR="001A5BB6" w:rsidRDefault="00EA4088" w:rsidP="00EA4088">
      <w:pPr>
        <w:ind w:left="360"/>
        <w:rPr>
          <w:b/>
          <w:bCs/>
          <w:sz w:val="28"/>
          <w:szCs w:val="28"/>
        </w:rPr>
      </w:pPr>
      <w:r>
        <w:rPr>
          <w:b/>
          <w:bCs/>
          <w:sz w:val="28"/>
          <w:szCs w:val="28"/>
        </w:rPr>
        <w:t>Political Opinion</w:t>
      </w:r>
      <w:r w:rsidRPr="00C82DA4">
        <w:rPr>
          <w:b/>
          <w:bCs/>
          <w:sz w:val="28"/>
          <w:szCs w:val="28"/>
        </w:rPr>
        <w:t xml:space="preserve"> </w:t>
      </w:r>
      <w:r w:rsidR="001A5BB6">
        <w:rPr>
          <w:b/>
          <w:bCs/>
          <w:sz w:val="28"/>
          <w:szCs w:val="28"/>
        </w:rPr>
        <w:t>–</w:t>
      </w:r>
      <w:r>
        <w:rPr>
          <w:b/>
          <w:bCs/>
          <w:sz w:val="28"/>
          <w:szCs w:val="28"/>
        </w:rPr>
        <w:t xml:space="preserve"> </w:t>
      </w:r>
    </w:p>
    <w:p w14:paraId="1187D1CA" w14:textId="7A601624" w:rsidR="00EA4088" w:rsidRPr="00C82DA4" w:rsidRDefault="006F51AE" w:rsidP="00EA4088">
      <w:pPr>
        <w:ind w:left="360"/>
        <w:rPr>
          <w:bCs/>
          <w:sz w:val="28"/>
          <w:szCs w:val="28"/>
        </w:rPr>
      </w:pPr>
      <w:r>
        <w:rPr>
          <w:bCs/>
          <w:sz w:val="28"/>
          <w:szCs w:val="28"/>
        </w:rPr>
        <w:t>No – as above.</w:t>
      </w:r>
    </w:p>
    <w:p w14:paraId="2287E5B6" w14:textId="77777777" w:rsidR="00EA4088" w:rsidRDefault="00EA4088" w:rsidP="00EA4088">
      <w:pPr>
        <w:ind w:left="360"/>
        <w:rPr>
          <w:b/>
          <w:bCs/>
          <w:sz w:val="28"/>
          <w:szCs w:val="28"/>
        </w:rPr>
      </w:pPr>
    </w:p>
    <w:p w14:paraId="0930E52F" w14:textId="5FD0245A" w:rsidR="001A5BB6" w:rsidRDefault="00EA4088" w:rsidP="00EA4088">
      <w:pPr>
        <w:ind w:left="360"/>
        <w:rPr>
          <w:b/>
          <w:bCs/>
          <w:sz w:val="28"/>
          <w:szCs w:val="28"/>
        </w:rPr>
      </w:pPr>
      <w:r>
        <w:rPr>
          <w:b/>
          <w:bCs/>
          <w:sz w:val="28"/>
          <w:szCs w:val="28"/>
        </w:rPr>
        <w:t xml:space="preserve">Racial Group </w:t>
      </w:r>
      <w:r w:rsidR="001A5BB6">
        <w:rPr>
          <w:b/>
          <w:bCs/>
          <w:sz w:val="28"/>
          <w:szCs w:val="28"/>
        </w:rPr>
        <w:t>–</w:t>
      </w:r>
      <w:r>
        <w:rPr>
          <w:b/>
          <w:bCs/>
          <w:sz w:val="28"/>
          <w:szCs w:val="28"/>
        </w:rPr>
        <w:t xml:space="preserve"> </w:t>
      </w:r>
    </w:p>
    <w:p w14:paraId="35D29ED4" w14:textId="4682A371" w:rsidR="00EA4088" w:rsidRPr="00C82DA4" w:rsidRDefault="006F51AE" w:rsidP="00EA4088">
      <w:pPr>
        <w:ind w:left="360"/>
        <w:rPr>
          <w:bCs/>
          <w:sz w:val="28"/>
          <w:szCs w:val="28"/>
        </w:rPr>
      </w:pPr>
      <w:r>
        <w:rPr>
          <w:bCs/>
          <w:sz w:val="28"/>
          <w:szCs w:val="28"/>
        </w:rPr>
        <w:t xml:space="preserve">No – as above.  </w:t>
      </w:r>
    </w:p>
    <w:p w14:paraId="6C23F87D" w14:textId="77777777" w:rsidR="006A1D34" w:rsidRPr="008C67A9" w:rsidRDefault="006A1D34" w:rsidP="006A1D34">
      <w:pPr>
        <w:pStyle w:val="ListParagraph"/>
        <w:ind w:left="360"/>
        <w:rPr>
          <w:b/>
          <w:bCs/>
        </w:rPr>
      </w:pPr>
    </w:p>
    <w:p w14:paraId="3B00CC92" w14:textId="77777777" w:rsidR="00E91D60" w:rsidRDefault="00E91D60" w:rsidP="00E91D60"/>
    <w:p w14:paraId="28B4CBF1" w14:textId="77777777" w:rsidR="00E91D60" w:rsidRPr="00691F6D" w:rsidRDefault="00E91D60" w:rsidP="00691F6D">
      <w:pPr>
        <w:pStyle w:val="Heading3"/>
      </w:pPr>
      <w:r>
        <w:br w:type="page"/>
      </w:r>
      <w:r w:rsidRPr="00691F6D">
        <w:lastRenderedPageBreak/>
        <w:t>Additional considerations</w:t>
      </w:r>
    </w:p>
    <w:p w14:paraId="3B009A4B" w14:textId="77777777" w:rsidR="00E91D60" w:rsidRPr="00214D9C" w:rsidRDefault="00E91D60" w:rsidP="00E91D60">
      <w:pPr>
        <w:rPr>
          <w:i/>
        </w:rPr>
      </w:pPr>
    </w:p>
    <w:p w14:paraId="212BFC80" w14:textId="77777777" w:rsidR="00E91D60" w:rsidRPr="00214D9C" w:rsidRDefault="00E91D60" w:rsidP="00E91D60">
      <w:pPr>
        <w:rPr>
          <w:rFonts w:cs="Arial"/>
          <w:b/>
          <w:i/>
          <w:sz w:val="28"/>
          <w:szCs w:val="28"/>
        </w:rPr>
      </w:pPr>
      <w:r w:rsidRPr="00214D9C">
        <w:rPr>
          <w:rFonts w:cs="Arial"/>
          <w:b/>
          <w:i/>
          <w:sz w:val="28"/>
          <w:szCs w:val="28"/>
        </w:rPr>
        <w:t>Multiple identity</w:t>
      </w:r>
    </w:p>
    <w:p w14:paraId="2F827864" w14:textId="77777777" w:rsidR="00E91D60" w:rsidRDefault="00E91D60" w:rsidP="00E91D60">
      <w:pPr>
        <w:autoSpaceDE w:val="0"/>
        <w:autoSpaceDN w:val="0"/>
        <w:adjustRightInd w:val="0"/>
        <w:rPr>
          <w:rFonts w:cs="Arial"/>
          <w:sz w:val="28"/>
          <w:szCs w:val="28"/>
        </w:rPr>
      </w:pPr>
    </w:p>
    <w:p w14:paraId="3B516F84"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p>
    <w:p w14:paraId="099E37F1" w14:textId="77777777" w:rsidR="00E17E34" w:rsidRDefault="00E91D60" w:rsidP="00E17E34">
      <w:pPr>
        <w:autoSpaceDE w:val="0"/>
        <w:autoSpaceDN w:val="0"/>
        <w:adjustRightInd w:val="0"/>
        <w:ind w:right="-174"/>
        <w:rPr>
          <w:rFonts w:cs="Arial"/>
          <w:i/>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p>
    <w:p w14:paraId="48163D3A" w14:textId="15D4C330" w:rsidR="00E91D60" w:rsidRPr="00FA0121" w:rsidRDefault="00E17E34" w:rsidP="00E17E34">
      <w:pPr>
        <w:autoSpaceDE w:val="0"/>
        <w:autoSpaceDN w:val="0"/>
        <w:adjustRightInd w:val="0"/>
        <w:ind w:right="-174"/>
        <w:rPr>
          <w:rFonts w:cs="Arial"/>
          <w:sz w:val="28"/>
          <w:szCs w:val="28"/>
        </w:rPr>
      </w:pPr>
      <w:r w:rsidRPr="00FA0121">
        <w:rPr>
          <w:rFonts w:cs="Arial"/>
          <w:sz w:val="28"/>
          <w:szCs w:val="28"/>
        </w:rPr>
        <w:t xml:space="preserve"> </w:t>
      </w:r>
    </w:p>
    <w:p w14:paraId="1837A4A0" w14:textId="77777777" w:rsidR="00E91D60"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4A2CBB6F" w14:textId="77777777" w:rsidR="006F51AE" w:rsidRDefault="006F51AE" w:rsidP="00E91D60">
      <w:pPr>
        <w:autoSpaceDE w:val="0"/>
        <w:autoSpaceDN w:val="0"/>
        <w:adjustRightInd w:val="0"/>
        <w:rPr>
          <w:rFonts w:cs="Arial"/>
          <w:sz w:val="28"/>
          <w:szCs w:val="28"/>
        </w:rPr>
      </w:pPr>
    </w:p>
    <w:p w14:paraId="1E78AF42" w14:textId="78876DC6" w:rsidR="006F51AE" w:rsidRDefault="006F51AE" w:rsidP="00E91D60">
      <w:pPr>
        <w:autoSpaceDE w:val="0"/>
        <w:autoSpaceDN w:val="0"/>
        <w:adjustRightInd w:val="0"/>
        <w:rPr>
          <w:rFonts w:cs="Arial"/>
          <w:sz w:val="28"/>
          <w:szCs w:val="28"/>
        </w:rPr>
      </w:pPr>
      <w:r>
        <w:rPr>
          <w:rFonts w:cs="Arial"/>
          <w:sz w:val="28"/>
          <w:szCs w:val="28"/>
        </w:rPr>
        <w:t xml:space="preserve">No </w:t>
      </w:r>
      <w:r w:rsidR="00A8737A">
        <w:rPr>
          <w:rFonts w:cs="Arial"/>
          <w:sz w:val="28"/>
          <w:szCs w:val="28"/>
        </w:rPr>
        <w:t xml:space="preserve">potential impacts of the </w:t>
      </w:r>
      <w:r w:rsidR="00A26B5A">
        <w:rPr>
          <w:rFonts w:cs="Arial"/>
          <w:sz w:val="28"/>
          <w:szCs w:val="28"/>
        </w:rPr>
        <w:t xml:space="preserve">proposal are </w:t>
      </w:r>
      <w:r w:rsidR="00A8737A">
        <w:rPr>
          <w:rFonts w:cs="Arial"/>
          <w:sz w:val="28"/>
          <w:szCs w:val="28"/>
        </w:rPr>
        <w:t xml:space="preserve">noted on people with multiple identities, due to the technical nature </w:t>
      </w:r>
      <w:r w:rsidR="006F3FED">
        <w:rPr>
          <w:rFonts w:cs="Arial"/>
          <w:sz w:val="28"/>
          <w:szCs w:val="28"/>
        </w:rPr>
        <w:t>of these proposals</w:t>
      </w:r>
      <w:r w:rsidR="00DB44E4">
        <w:rPr>
          <w:rFonts w:cs="Arial"/>
          <w:sz w:val="28"/>
          <w:szCs w:val="28"/>
        </w:rPr>
        <w:t>.</w:t>
      </w:r>
      <w:r w:rsidR="0068301E">
        <w:rPr>
          <w:rFonts w:cs="Arial"/>
          <w:sz w:val="28"/>
          <w:szCs w:val="28"/>
        </w:rPr>
        <w:t xml:space="preserve">  Any responses to the consultation that indicate such potential impacts will be considered.</w:t>
      </w:r>
      <w:r w:rsidR="00DB44E4">
        <w:rPr>
          <w:rFonts w:cs="Arial"/>
          <w:sz w:val="28"/>
          <w:szCs w:val="28"/>
        </w:rPr>
        <w:t xml:space="preserve">  </w:t>
      </w:r>
    </w:p>
    <w:p w14:paraId="6657D74A" w14:textId="77777777" w:rsidR="006F51AE" w:rsidRPr="00F36F5D" w:rsidRDefault="006F51AE" w:rsidP="00E91D60">
      <w:pPr>
        <w:autoSpaceDE w:val="0"/>
        <w:autoSpaceDN w:val="0"/>
        <w:adjustRightInd w:val="0"/>
        <w:rPr>
          <w:rFonts w:cs="Arial"/>
          <w:sz w:val="28"/>
          <w:szCs w:val="28"/>
        </w:rPr>
      </w:pPr>
    </w:p>
    <w:p w14:paraId="7A101664" w14:textId="1DD2E19D" w:rsidR="00F02D1F" w:rsidRDefault="00F02D1F" w:rsidP="00F02D1F">
      <w:pPr>
        <w:autoSpaceDE w:val="0"/>
        <w:autoSpaceDN w:val="0"/>
        <w:adjustRightInd w:val="0"/>
        <w:rPr>
          <w:rFonts w:cs="Arial"/>
          <w:sz w:val="28"/>
          <w:szCs w:val="28"/>
        </w:rPr>
      </w:pPr>
      <w:r>
        <w:rPr>
          <w:rFonts w:cs="Arial"/>
          <w:sz w:val="28"/>
          <w:szCs w:val="28"/>
        </w:rPr>
        <w:t xml:space="preserve">Future implementation of specific policies or projects which are enabled by </w:t>
      </w:r>
      <w:r w:rsidR="00A26B5A">
        <w:rPr>
          <w:rFonts w:cs="Arial"/>
          <w:sz w:val="28"/>
          <w:szCs w:val="28"/>
        </w:rPr>
        <w:t>these provisions</w:t>
      </w:r>
      <w:r>
        <w:rPr>
          <w:rFonts w:cs="Arial"/>
          <w:sz w:val="28"/>
          <w:szCs w:val="28"/>
        </w:rPr>
        <w:t xml:space="preserve"> will be </w:t>
      </w:r>
      <w:r w:rsidRPr="00A448DE">
        <w:rPr>
          <w:rFonts w:cs="Arial"/>
          <w:sz w:val="28"/>
          <w:szCs w:val="28"/>
        </w:rPr>
        <w:t>considered in accordance with DfE’s Equality Scheme</w:t>
      </w:r>
      <w:r>
        <w:rPr>
          <w:rFonts w:cs="Arial"/>
          <w:sz w:val="28"/>
          <w:szCs w:val="28"/>
        </w:rPr>
        <w:t xml:space="preserve"> </w:t>
      </w:r>
      <w:r w:rsidRPr="00F02D1F">
        <w:rPr>
          <w:rFonts w:cs="Arial"/>
          <w:sz w:val="28"/>
          <w:szCs w:val="28"/>
        </w:rPr>
        <w:t xml:space="preserve">and </w:t>
      </w:r>
      <w:r>
        <w:rPr>
          <w:rFonts w:cs="Arial"/>
          <w:sz w:val="28"/>
          <w:szCs w:val="28"/>
        </w:rPr>
        <w:t>potential impacts on people with</w:t>
      </w:r>
      <w:r w:rsidRPr="00F02D1F">
        <w:rPr>
          <w:rFonts w:cs="Arial"/>
          <w:sz w:val="28"/>
          <w:szCs w:val="28"/>
        </w:rPr>
        <w:t xml:space="preserve"> multiple identities </w:t>
      </w:r>
      <w:r>
        <w:rPr>
          <w:rFonts w:cs="Arial"/>
          <w:sz w:val="28"/>
          <w:szCs w:val="28"/>
        </w:rPr>
        <w:t xml:space="preserve">will be considered on a case by case basis by the relevant policy / project lead. </w:t>
      </w:r>
    </w:p>
    <w:p w14:paraId="29B35DB3" w14:textId="1BE68924" w:rsidR="00E91D60" w:rsidRPr="00C27F67" w:rsidRDefault="00453279" w:rsidP="00C27F67">
      <w:pPr>
        <w:pStyle w:val="Heading2"/>
        <w:rPr>
          <w:b/>
        </w:rPr>
      </w:pPr>
      <w:r>
        <w:br w:type="page"/>
      </w:r>
      <w:r w:rsidR="00E91D60" w:rsidRPr="00C27F67">
        <w:rPr>
          <w:b/>
        </w:rPr>
        <w:lastRenderedPageBreak/>
        <w:t>Part 3. Screening decision</w:t>
      </w:r>
    </w:p>
    <w:p w14:paraId="611E721E" w14:textId="77777777" w:rsidR="00E91D60" w:rsidRDefault="00E91D60" w:rsidP="00E91D60">
      <w:pPr>
        <w:autoSpaceDE w:val="0"/>
        <w:autoSpaceDN w:val="0"/>
        <w:adjustRightInd w:val="0"/>
        <w:rPr>
          <w:rFonts w:cs="Arial"/>
          <w:sz w:val="28"/>
          <w:szCs w:val="28"/>
        </w:rPr>
      </w:pPr>
    </w:p>
    <w:p w14:paraId="66038A24" w14:textId="77777777" w:rsidR="00A83AAA" w:rsidRDefault="00A83AAA" w:rsidP="00A83AAA">
      <w:pPr>
        <w:rPr>
          <w:rFonts w:cs="Arial"/>
          <w:b/>
          <w:bCs/>
          <w:sz w:val="28"/>
          <w:szCs w:val="28"/>
        </w:rPr>
      </w:pPr>
      <w:r w:rsidRPr="00721F8A">
        <w:rPr>
          <w:rFonts w:cs="Arial"/>
          <w:sz w:val="28"/>
          <w:szCs w:val="28"/>
        </w:rPr>
        <w:t xml:space="preserve">Policy screened out </w:t>
      </w:r>
      <w:r w:rsidRPr="00721F8A">
        <w:rPr>
          <w:rFonts w:cs="Arial"/>
          <w:b/>
          <w:sz w:val="28"/>
          <w:szCs w:val="28"/>
        </w:rPr>
        <w:t xml:space="preserve">without </w:t>
      </w:r>
      <w:r w:rsidRPr="00721F8A">
        <w:rPr>
          <w:rFonts w:cs="Arial"/>
          <w:sz w:val="28"/>
          <w:szCs w:val="28"/>
        </w:rPr>
        <w:t>mitigation or an alternative policy adopted.</w:t>
      </w:r>
      <w:r w:rsidRPr="0023755C">
        <w:rPr>
          <w:rFonts w:cs="Arial"/>
          <w:b/>
          <w:bCs/>
          <w:sz w:val="28"/>
          <w:szCs w:val="28"/>
        </w:rPr>
        <w:t xml:space="preserve"> </w:t>
      </w:r>
    </w:p>
    <w:p w14:paraId="7C6279AD" w14:textId="77777777" w:rsidR="00D31316" w:rsidRDefault="00D31316" w:rsidP="00A83AAA">
      <w:pPr>
        <w:rPr>
          <w:rFonts w:cs="Arial"/>
          <w:b/>
          <w:bCs/>
          <w:sz w:val="28"/>
          <w:szCs w:val="28"/>
        </w:rPr>
      </w:pPr>
    </w:p>
    <w:p w14:paraId="467AAAB9" w14:textId="3E25F8EF" w:rsidR="00A26B5A" w:rsidRDefault="00024DFC" w:rsidP="00A26B5A">
      <w:pPr>
        <w:autoSpaceDE w:val="0"/>
        <w:autoSpaceDN w:val="0"/>
        <w:adjustRightInd w:val="0"/>
        <w:rPr>
          <w:rFonts w:cs="Arial"/>
          <w:sz w:val="28"/>
          <w:szCs w:val="28"/>
        </w:rPr>
      </w:pPr>
      <w:bookmarkStart w:id="6" w:name="_Hlk160788463"/>
      <w:r>
        <w:rPr>
          <w:rFonts w:cs="Arial"/>
          <w:sz w:val="28"/>
          <w:szCs w:val="28"/>
        </w:rPr>
        <w:t>No impacts have been identified</w:t>
      </w:r>
      <w:r w:rsidR="00A26B5A">
        <w:rPr>
          <w:rFonts w:cs="Arial"/>
          <w:sz w:val="28"/>
          <w:szCs w:val="28"/>
        </w:rPr>
        <w:t xml:space="preserve"> at this stage.  </w:t>
      </w:r>
      <w:r>
        <w:rPr>
          <w:rFonts w:cs="Arial"/>
          <w:sz w:val="28"/>
          <w:szCs w:val="28"/>
        </w:rPr>
        <w:t xml:space="preserve"> </w:t>
      </w:r>
      <w:r w:rsidR="00A26B5A">
        <w:rPr>
          <w:rFonts w:cs="Arial"/>
          <w:sz w:val="28"/>
          <w:szCs w:val="28"/>
        </w:rPr>
        <w:t xml:space="preserve">DfE is carrying out a consultation on this proposal and will consider any response or data that is relevant and update the screening following closure of the consultation.  </w:t>
      </w:r>
    </w:p>
    <w:p w14:paraId="0B82A8A8" w14:textId="77777777" w:rsidR="00024DFC" w:rsidRDefault="00024DFC" w:rsidP="00024DFC">
      <w:pPr>
        <w:jc w:val="both"/>
        <w:rPr>
          <w:rFonts w:cs="Arial"/>
          <w:sz w:val="28"/>
          <w:szCs w:val="28"/>
        </w:rPr>
      </w:pPr>
    </w:p>
    <w:p w14:paraId="213F6814" w14:textId="3E07F09F" w:rsidR="00F02D1F" w:rsidRDefault="00F02D1F" w:rsidP="008E7B70">
      <w:pPr>
        <w:jc w:val="both"/>
        <w:rPr>
          <w:rFonts w:cs="Arial"/>
          <w:sz w:val="28"/>
          <w:szCs w:val="28"/>
        </w:rPr>
      </w:pPr>
      <w:r>
        <w:rPr>
          <w:rFonts w:cs="Arial"/>
          <w:sz w:val="28"/>
          <w:szCs w:val="28"/>
        </w:rPr>
        <w:t xml:space="preserve">This </w:t>
      </w:r>
      <w:r w:rsidR="00A26B5A">
        <w:rPr>
          <w:rFonts w:cs="Arial"/>
          <w:sz w:val="28"/>
          <w:szCs w:val="28"/>
        </w:rPr>
        <w:t xml:space="preserve">proposal </w:t>
      </w:r>
      <w:r>
        <w:rPr>
          <w:rFonts w:cs="Arial"/>
          <w:sz w:val="28"/>
          <w:szCs w:val="28"/>
        </w:rPr>
        <w:t>is technical in nature</w:t>
      </w:r>
      <w:r w:rsidR="003F73F0">
        <w:rPr>
          <w:rFonts w:cs="Arial"/>
          <w:sz w:val="28"/>
          <w:szCs w:val="28"/>
        </w:rPr>
        <w:t>,</w:t>
      </w:r>
      <w:r>
        <w:rPr>
          <w:rFonts w:cs="Arial"/>
          <w:sz w:val="28"/>
          <w:szCs w:val="28"/>
        </w:rPr>
        <w:t xml:space="preserve"> although parts of it may be used in future to benefit the economy.  </w:t>
      </w:r>
    </w:p>
    <w:p w14:paraId="52850EB6" w14:textId="77777777" w:rsidR="008E7B70" w:rsidRDefault="008E7B70" w:rsidP="008E7B70">
      <w:pPr>
        <w:jc w:val="both"/>
        <w:rPr>
          <w:rFonts w:cs="Arial"/>
          <w:sz w:val="28"/>
          <w:szCs w:val="28"/>
        </w:rPr>
      </w:pPr>
    </w:p>
    <w:p w14:paraId="0879BA99" w14:textId="1BB911A9" w:rsidR="00F02D1F" w:rsidRDefault="00F02D1F" w:rsidP="00F02D1F">
      <w:pPr>
        <w:autoSpaceDE w:val="0"/>
        <w:autoSpaceDN w:val="0"/>
        <w:adjustRightInd w:val="0"/>
        <w:rPr>
          <w:rFonts w:cs="Arial"/>
          <w:sz w:val="28"/>
          <w:szCs w:val="28"/>
        </w:rPr>
      </w:pPr>
      <w:r>
        <w:rPr>
          <w:rFonts w:cs="Arial"/>
          <w:sz w:val="28"/>
          <w:szCs w:val="28"/>
        </w:rPr>
        <w:t xml:space="preserve">Future implementation of specific policies or projects which are enabled by </w:t>
      </w:r>
      <w:r w:rsidR="00A26B5A">
        <w:rPr>
          <w:rFonts w:cs="Arial"/>
          <w:sz w:val="28"/>
          <w:szCs w:val="28"/>
        </w:rPr>
        <w:t>these provisions</w:t>
      </w:r>
      <w:r>
        <w:rPr>
          <w:rFonts w:cs="Arial"/>
          <w:sz w:val="28"/>
          <w:szCs w:val="28"/>
        </w:rPr>
        <w:t xml:space="preserve"> will be </w:t>
      </w:r>
      <w:r w:rsidRPr="00A448DE">
        <w:rPr>
          <w:rFonts w:cs="Arial"/>
          <w:sz w:val="28"/>
          <w:szCs w:val="28"/>
        </w:rPr>
        <w:t>considered in accordance with DfE’s Equality Scheme</w:t>
      </w:r>
      <w:r>
        <w:rPr>
          <w:rFonts w:cs="Arial"/>
          <w:sz w:val="28"/>
          <w:szCs w:val="28"/>
        </w:rPr>
        <w:t xml:space="preserve"> on a case by case basis by the relevant policy / project lead. </w:t>
      </w:r>
    </w:p>
    <w:p w14:paraId="2149D091" w14:textId="77777777" w:rsidR="00D3274E" w:rsidRDefault="00D3274E" w:rsidP="00E91D60">
      <w:pPr>
        <w:autoSpaceDE w:val="0"/>
        <w:autoSpaceDN w:val="0"/>
        <w:adjustRightInd w:val="0"/>
        <w:rPr>
          <w:rFonts w:cs="Arial"/>
          <w:b/>
          <w:sz w:val="28"/>
          <w:szCs w:val="28"/>
        </w:rPr>
      </w:pPr>
    </w:p>
    <w:bookmarkEnd w:id="6"/>
    <w:p w14:paraId="62ACE116"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4D5EFD">
        <w:rPr>
          <w:rFonts w:cs="Arial"/>
          <w:b/>
          <w:sz w:val="28"/>
          <w:szCs w:val="28"/>
        </w:rPr>
        <w:lastRenderedPageBreak/>
        <w:t>Mitigation</w:t>
      </w:r>
      <w:r w:rsidR="00E91D60" w:rsidRPr="001167B8">
        <w:rPr>
          <w:rFonts w:cs="Arial"/>
          <w:b/>
          <w:color w:val="2F5496" w:themeColor="accent1" w:themeShade="BF"/>
          <w:sz w:val="28"/>
          <w:szCs w:val="28"/>
        </w:rPr>
        <w:t xml:space="preserve"> </w:t>
      </w:r>
    </w:p>
    <w:p w14:paraId="1D43E6BB" w14:textId="77777777" w:rsidR="00E91D60" w:rsidRDefault="00E91D60" w:rsidP="00E91D60">
      <w:pPr>
        <w:autoSpaceDE w:val="0"/>
        <w:autoSpaceDN w:val="0"/>
        <w:adjustRightInd w:val="0"/>
        <w:rPr>
          <w:rFonts w:cs="Arial"/>
          <w:b/>
          <w:sz w:val="28"/>
          <w:szCs w:val="28"/>
        </w:rPr>
      </w:pPr>
    </w:p>
    <w:p w14:paraId="50F75053"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AD1696D" w14:textId="77777777" w:rsidR="00E91D60" w:rsidRPr="00FA0121" w:rsidRDefault="00E91D60" w:rsidP="00E91D60">
      <w:pPr>
        <w:autoSpaceDE w:val="0"/>
        <w:autoSpaceDN w:val="0"/>
        <w:adjustRightInd w:val="0"/>
        <w:rPr>
          <w:rFonts w:cs="Arial"/>
          <w:sz w:val="28"/>
          <w:szCs w:val="28"/>
        </w:rPr>
      </w:pPr>
    </w:p>
    <w:p w14:paraId="0EC65C4F"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p>
    <w:p w14:paraId="6ACFF0C7" w14:textId="77777777" w:rsidR="00E91D60" w:rsidRDefault="00E91D60" w:rsidP="00E91D60">
      <w:pPr>
        <w:autoSpaceDE w:val="0"/>
        <w:autoSpaceDN w:val="0"/>
        <w:adjustRightInd w:val="0"/>
        <w:rPr>
          <w:rFonts w:cs="Arial"/>
          <w:sz w:val="28"/>
          <w:szCs w:val="28"/>
        </w:rPr>
      </w:pPr>
    </w:p>
    <w:p w14:paraId="4654F755" w14:textId="77777777" w:rsidR="00E91D60" w:rsidRPr="00FA0121"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14:paraId="44A1473A" w14:textId="77777777" w:rsidR="00E91D60" w:rsidRDefault="00E91D60" w:rsidP="00E91D60">
      <w:pPr>
        <w:autoSpaceDE w:val="0"/>
        <w:autoSpaceDN w:val="0"/>
        <w:adjustRightInd w:val="0"/>
        <w:rPr>
          <w:rFonts w:cs="Arial"/>
          <w:b/>
          <w:sz w:val="28"/>
          <w:szCs w:val="28"/>
        </w:rPr>
      </w:pPr>
    </w:p>
    <w:p w14:paraId="4C796116" w14:textId="77777777" w:rsidR="00F02D1F" w:rsidRDefault="00F02D1F" w:rsidP="00F02D1F">
      <w:pPr>
        <w:jc w:val="both"/>
        <w:rPr>
          <w:rFonts w:cs="Arial"/>
          <w:sz w:val="28"/>
          <w:szCs w:val="28"/>
        </w:rPr>
      </w:pPr>
    </w:p>
    <w:p w14:paraId="4BBF0F21" w14:textId="7BB43C47" w:rsidR="00F02D1F" w:rsidRDefault="00F02D1F" w:rsidP="00F02D1F">
      <w:pPr>
        <w:jc w:val="both"/>
        <w:rPr>
          <w:rFonts w:cs="Arial"/>
          <w:sz w:val="28"/>
          <w:szCs w:val="28"/>
        </w:rPr>
      </w:pPr>
      <w:r>
        <w:rPr>
          <w:rFonts w:cs="Arial"/>
          <w:sz w:val="28"/>
          <w:szCs w:val="28"/>
        </w:rPr>
        <w:t xml:space="preserve">No impacts have been identified.  </w:t>
      </w:r>
    </w:p>
    <w:p w14:paraId="7A36639E" w14:textId="77777777" w:rsidR="00FA2356" w:rsidRDefault="00FA2356" w:rsidP="00E91D60">
      <w:pPr>
        <w:autoSpaceDE w:val="0"/>
        <w:autoSpaceDN w:val="0"/>
        <w:adjustRightInd w:val="0"/>
        <w:rPr>
          <w:rFonts w:cs="Arial"/>
          <w:b/>
          <w:sz w:val="28"/>
          <w:szCs w:val="28"/>
        </w:rPr>
      </w:pPr>
    </w:p>
    <w:p w14:paraId="58991C13" w14:textId="0928B347" w:rsidR="00F02D1F" w:rsidRDefault="00F02D1F" w:rsidP="00F02D1F">
      <w:pPr>
        <w:jc w:val="both"/>
        <w:rPr>
          <w:rFonts w:cs="Arial"/>
          <w:sz w:val="28"/>
          <w:szCs w:val="28"/>
        </w:rPr>
      </w:pPr>
      <w:r>
        <w:rPr>
          <w:rFonts w:cs="Arial"/>
          <w:sz w:val="28"/>
          <w:szCs w:val="28"/>
        </w:rPr>
        <w:t xml:space="preserve">This </w:t>
      </w:r>
      <w:r w:rsidR="00B27E09">
        <w:rPr>
          <w:rFonts w:cs="Arial"/>
          <w:sz w:val="28"/>
          <w:szCs w:val="28"/>
        </w:rPr>
        <w:t>proposal</w:t>
      </w:r>
      <w:r>
        <w:rPr>
          <w:rFonts w:cs="Arial"/>
          <w:sz w:val="28"/>
          <w:szCs w:val="28"/>
        </w:rPr>
        <w:t xml:space="preserve"> is technical in nature, although parts of it may be used in future to benefit the economy.  </w:t>
      </w:r>
    </w:p>
    <w:p w14:paraId="0CC0FBD1" w14:textId="77777777" w:rsidR="00F02D1F" w:rsidRDefault="00F02D1F" w:rsidP="00F02D1F">
      <w:pPr>
        <w:jc w:val="both"/>
        <w:rPr>
          <w:rFonts w:cs="Arial"/>
          <w:sz w:val="28"/>
          <w:szCs w:val="28"/>
        </w:rPr>
      </w:pPr>
    </w:p>
    <w:p w14:paraId="628935F9" w14:textId="7918BDB0" w:rsidR="00F02D1F" w:rsidRDefault="00F02D1F" w:rsidP="00F02D1F">
      <w:pPr>
        <w:autoSpaceDE w:val="0"/>
        <w:autoSpaceDN w:val="0"/>
        <w:adjustRightInd w:val="0"/>
        <w:rPr>
          <w:rFonts w:cs="Arial"/>
          <w:sz w:val="28"/>
          <w:szCs w:val="28"/>
        </w:rPr>
      </w:pPr>
      <w:r>
        <w:rPr>
          <w:rFonts w:cs="Arial"/>
          <w:sz w:val="28"/>
          <w:szCs w:val="28"/>
        </w:rPr>
        <w:t xml:space="preserve">Future implementation of specific policies or projects which are enabled by </w:t>
      </w:r>
      <w:r w:rsidR="00B27E09">
        <w:rPr>
          <w:rFonts w:cs="Arial"/>
          <w:sz w:val="28"/>
          <w:szCs w:val="28"/>
        </w:rPr>
        <w:t>these provisions</w:t>
      </w:r>
      <w:r>
        <w:rPr>
          <w:rFonts w:cs="Arial"/>
          <w:sz w:val="28"/>
          <w:szCs w:val="28"/>
        </w:rPr>
        <w:t xml:space="preserve"> will be </w:t>
      </w:r>
      <w:r w:rsidRPr="00A448DE">
        <w:rPr>
          <w:rFonts w:cs="Arial"/>
          <w:sz w:val="28"/>
          <w:szCs w:val="28"/>
        </w:rPr>
        <w:t>considered in accordance with DfE’s Equality Scheme</w:t>
      </w:r>
      <w:r>
        <w:rPr>
          <w:rFonts w:cs="Arial"/>
          <w:sz w:val="28"/>
          <w:szCs w:val="28"/>
        </w:rPr>
        <w:t xml:space="preserve"> on a case by case basis by the relevant policy / project lead. </w:t>
      </w:r>
    </w:p>
    <w:p w14:paraId="44E88260" w14:textId="77777777" w:rsidR="00F02D1F" w:rsidRDefault="00F02D1F" w:rsidP="00F02D1F">
      <w:pPr>
        <w:autoSpaceDE w:val="0"/>
        <w:autoSpaceDN w:val="0"/>
        <w:adjustRightInd w:val="0"/>
        <w:rPr>
          <w:rFonts w:cs="Arial"/>
          <w:b/>
          <w:sz w:val="28"/>
          <w:szCs w:val="28"/>
        </w:rPr>
      </w:pPr>
    </w:p>
    <w:p w14:paraId="1398A5A7" w14:textId="45211CB4" w:rsidR="00E91D60" w:rsidRDefault="00E91D60" w:rsidP="0005595B">
      <w:pPr>
        <w:autoSpaceDE w:val="0"/>
        <w:autoSpaceDN w:val="0"/>
        <w:adjustRightInd w:val="0"/>
        <w:jc w:val="both"/>
        <w:rPr>
          <w:rFonts w:cs="Arial"/>
          <w:b/>
          <w:sz w:val="28"/>
          <w:szCs w:val="28"/>
        </w:rPr>
      </w:pPr>
      <w:r>
        <w:rPr>
          <w:rFonts w:cs="Arial"/>
          <w:b/>
          <w:sz w:val="28"/>
          <w:szCs w:val="28"/>
        </w:rPr>
        <w:br w:type="page"/>
      </w:r>
      <w:r w:rsidRPr="004D5EFD">
        <w:rPr>
          <w:rFonts w:cs="Arial"/>
          <w:b/>
          <w:sz w:val="28"/>
          <w:szCs w:val="28"/>
        </w:rPr>
        <w:lastRenderedPageBreak/>
        <w:t>Timetabling and prioritising</w:t>
      </w:r>
    </w:p>
    <w:p w14:paraId="6217B7E1" w14:textId="77777777" w:rsidR="00E91D60" w:rsidRPr="00F70DA4" w:rsidRDefault="00E91D60" w:rsidP="00E91D60">
      <w:pPr>
        <w:autoSpaceDE w:val="0"/>
        <w:autoSpaceDN w:val="0"/>
        <w:adjustRightInd w:val="0"/>
        <w:jc w:val="both"/>
        <w:rPr>
          <w:rFonts w:cs="Arial"/>
          <w:b/>
          <w:sz w:val="28"/>
          <w:szCs w:val="28"/>
        </w:rPr>
      </w:pPr>
    </w:p>
    <w:p w14:paraId="42F62621"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78218F56" w14:textId="77777777" w:rsidR="00E91D60" w:rsidRPr="008A3870" w:rsidRDefault="00E91D60" w:rsidP="00E91D60">
      <w:pPr>
        <w:rPr>
          <w:rFonts w:cs="Arial"/>
          <w:sz w:val="28"/>
        </w:rPr>
      </w:pPr>
    </w:p>
    <w:p w14:paraId="3A84BDCB"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1171EFCA" w14:textId="77777777" w:rsidR="00E91D60" w:rsidRPr="008A3870" w:rsidRDefault="00E91D60" w:rsidP="00E91D60">
      <w:pPr>
        <w:rPr>
          <w:rFonts w:cs="Arial"/>
          <w:sz w:val="28"/>
        </w:rPr>
      </w:pPr>
    </w:p>
    <w:p w14:paraId="5B08C018" w14:textId="77777777" w:rsidR="00E91D6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5800CD81" w14:textId="77777777" w:rsidR="00E17E34" w:rsidRDefault="00E17E34" w:rsidP="00E91D60">
      <w:pPr>
        <w:pStyle w:val="BodyTextIndent2"/>
        <w:ind w:left="0" w:firstLine="0"/>
        <w:rPr>
          <w:szCs w:val="28"/>
        </w:rPr>
      </w:pPr>
    </w:p>
    <w:p w14:paraId="7A0D5D60" w14:textId="77777777" w:rsidR="00E17E34" w:rsidRDefault="00E17E34" w:rsidP="00E91D60">
      <w:pPr>
        <w:pStyle w:val="BodyTextIndent2"/>
        <w:ind w:left="0" w:firstLine="0"/>
        <w:rPr>
          <w:szCs w:val="28"/>
        </w:rPr>
      </w:pPr>
    </w:p>
    <w:p w14:paraId="6DC41812" w14:textId="79A7A565" w:rsidR="00E17E34" w:rsidRDefault="00E17E34" w:rsidP="00E91D60">
      <w:pPr>
        <w:pStyle w:val="BodyTextIndent2"/>
        <w:ind w:left="0" w:firstLine="0"/>
        <w:rPr>
          <w:szCs w:val="28"/>
        </w:rPr>
      </w:pPr>
      <w:r w:rsidRPr="00F70DA4">
        <w:rPr>
          <w:b/>
          <w:szCs w:val="28"/>
        </w:rPr>
        <w:t>Priority criterion</w:t>
      </w:r>
      <w:r>
        <w:rPr>
          <w:b/>
          <w:szCs w:val="28"/>
        </w:rPr>
        <w:t xml:space="preserve"> – R</w:t>
      </w:r>
      <w:r w:rsidRPr="00F70DA4">
        <w:rPr>
          <w:b/>
          <w:szCs w:val="28"/>
        </w:rPr>
        <w:t>ating</w:t>
      </w:r>
      <w:r>
        <w:rPr>
          <w:b/>
          <w:szCs w:val="28"/>
        </w:rPr>
        <w:t xml:space="preserve"> (1-3)</w:t>
      </w:r>
    </w:p>
    <w:p w14:paraId="16DC4F78" w14:textId="77777777" w:rsidR="00E17E34" w:rsidRDefault="00E17E34" w:rsidP="00E91D60">
      <w:pPr>
        <w:pStyle w:val="BodyTextIndent2"/>
        <w:ind w:left="0" w:firstLine="0"/>
        <w:rPr>
          <w:szCs w:val="28"/>
        </w:rPr>
      </w:pPr>
    </w:p>
    <w:p w14:paraId="1CE17BD9" w14:textId="0445F912" w:rsidR="00E17E34" w:rsidRDefault="00E17E34" w:rsidP="00E91D60">
      <w:pPr>
        <w:pStyle w:val="BodyTextIndent2"/>
        <w:ind w:left="0" w:firstLine="0"/>
        <w:rPr>
          <w:szCs w:val="28"/>
        </w:rPr>
      </w:pPr>
      <w:r w:rsidRPr="00F70DA4">
        <w:rPr>
          <w:szCs w:val="28"/>
        </w:rPr>
        <w:t xml:space="preserve">Effect on </w:t>
      </w:r>
      <w:r>
        <w:rPr>
          <w:szCs w:val="28"/>
        </w:rPr>
        <w:t xml:space="preserve">equality of opportunity and good relations </w:t>
      </w:r>
      <w:r w:rsidR="009500B2">
        <w:rPr>
          <w:szCs w:val="28"/>
        </w:rPr>
        <w:t>– N/A – screened out.</w:t>
      </w:r>
    </w:p>
    <w:p w14:paraId="511AEB22" w14:textId="77777777" w:rsidR="00E17E34" w:rsidRDefault="00E17E34" w:rsidP="00E91D60">
      <w:pPr>
        <w:pStyle w:val="BodyTextIndent2"/>
        <w:ind w:left="0" w:firstLine="0"/>
        <w:rPr>
          <w:szCs w:val="28"/>
        </w:rPr>
      </w:pPr>
    </w:p>
    <w:p w14:paraId="10BB5B02" w14:textId="46213DA0" w:rsidR="00E17E34" w:rsidRDefault="00E17E34" w:rsidP="00E91D60">
      <w:pPr>
        <w:pStyle w:val="BodyTextIndent2"/>
        <w:ind w:left="0" w:firstLine="0"/>
        <w:rPr>
          <w:szCs w:val="28"/>
        </w:rPr>
      </w:pPr>
      <w:r>
        <w:rPr>
          <w:szCs w:val="28"/>
        </w:rPr>
        <w:t xml:space="preserve">Social need </w:t>
      </w:r>
      <w:r w:rsidR="009500B2">
        <w:rPr>
          <w:szCs w:val="28"/>
        </w:rPr>
        <w:t xml:space="preserve">– N/A – screened out.  </w:t>
      </w:r>
    </w:p>
    <w:p w14:paraId="1708581D" w14:textId="77777777" w:rsidR="00E17E34" w:rsidRDefault="00E17E34" w:rsidP="00E91D60">
      <w:pPr>
        <w:pStyle w:val="BodyTextIndent2"/>
        <w:ind w:left="0" w:firstLine="0"/>
        <w:rPr>
          <w:szCs w:val="28"/>
        </w:rPr>
      </w:pPr>
    </w:p>
    <w:p w14:paraId="61E1725A" w14:textId="779AB75D" w:rsidR="00E17E34" w:rsidRDefault="00E17E34" w:rsidP="00E17E34">
      <w:pPr>
        <w:numPr>
          <w:ilvl w:val="12"/>
          <w:numId w:val="0"/>
        </w:numPr>
        <w:spacing w:before="120" w:after="120"/>
        <w:rPr>
          <w:sz w:val="28"/>
          <w:szCs w:val="28"/>
        </w:rPr>
      </w:pPr>
      <w:r w:rsidRPr="00F70DA4">
        <w:rPr>
          <w:sz w:val="28"/>
          <w:szCs w:val="28"/>
        </w:rPr>
        <w:t>Effect on people’s daily lives</w:t>
      </w:r>
      <w:r>
        <w:rPr>
          <w:sz w:val="28"/>
          <w:szCs w:val="28"/>
        </w:rPr>
        <w:t xml:space="preserve"> </w:t>
      </w:r>
      <w:r w:rsidR="009500B2">
        <w:rPr>
          <w:sz w:val="28"/>
          <w:szCs w:val="28"/>
        </w:rPr>
        <w:t xml:space="preserve">– N/A – screened out.  </w:t>
      </w:r>
    </w:p>
    <w:p w14:paraId="361EB3E2" w14:textId="77777777" w:rsidR="00E17E34" w:rsidRDefault="00E17E34" w:rsidP="00E17E34">
      <w:pPr>
        <w:numPr>
          <w:ilvl w:val="12"/>
          <w:numId w:val="0"/>
        </w:numPr>
        <w:spacing w:before="120" w:after="120"/>
        <w:rPr>
          <w:sz w:val="28"/>
          <w:szCs w:val="28"/>
        </w:rPr>
      </w:pPr>
    </w:p>
    <w:p w14:paraId="580C2CFF" w14:textId="47ED96F0" w:rsidR="00E91D60" w:rsidRDefault="00E17E34" w:rsidP="00E17E34">
      <w:pPr>
        <w:numPr>
          <w:ilvl w:val="12"/>
          <w:numId w:val="0"/>
        </w:numPr>
        <w:spacing w:before="120" w:after="120"/>
        <w:rPr>
          <w:sz w:val="28"/>
          <w:szCs w:val="28"/>
        </w:rPr>
      </w:pPr>
      <w:r>
        <w:rPr>
          <w:sz w:val="28"/>
          <w:szCs w:val="28"/>
        </w:rPr>
        <w:t>Relevance to a public authority’s functions –</w:t>
      </w:r>
      <w:r w:rsidR="009500B2">
        <w:rPr>
          <w:sz w:val="28"/>
          <w:szCs w:val="28"/>
        </w:rPr>
        <w:t xml:space="preserve"> N/A screened out.  </w:t>
      </w:r>
    </w:p>
    <w:p w14:paraId="14823220" w14:textId="77777777" w:rsidR="00E17E34" w:rsidRDefault="00E17E34" w:rsidP="00E17E34">
      <w:pPr>
        <w:numPr>
          <w:ilvl w:val="12"/>
          <w:numId w:val="0"/>
        </w:numPr>
        <w:spacing w:before="120" w:after="120"/>
        <w:rPr>
          <w:b/>
        </w:rPr>
      </w:pPr>
    </w:p>
    <w:p w14:paraId="66270D00"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032A9517" w14:textId="77777777" w:rsidR="00E91D60" w:rsidRPr="001C7651" w:rsidRDefault="00E91D60" w:rsidP="00E91D60">
      <w:pPr>
        <w:numPr>
          <w:ilvl w:val="12"/>
          <w:numId w:val="0"/>
        </w:numPr>
      </w:pPr>
    </w:p>
    <w:p w14:paraId="6E53FB67" w14:textId="0F62427E"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479D953E" w14:textId="77777777" w:rsidR="00E17E34" w:rsidRPr="001C7651" w:rsidRDefault="00E17E34" w:rsidP="00E91D60">
      <w:pPr>
        <w:pStyle w:val="BodyTextIndent2"/>
        <w:ind w:left="0" w:firstLine="0"/>
      </w:pPr>
    </w:p>
    <w:p w14:paraId="26E08EE3" w14:textId="2F25D141"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r w:rsidR="009500B2">
        <w:rPr>
          <w:sz w:val="28"/>
          <w:szCs w:val="28"/>
        </w:rPr>
        <w:t xml:space="preserve"> N/A – screened out.  </w:t>
      </w:r>
    </w:p>
    <w:p w14:paraId="0FD666AC" w14:textId="77777777" w:rsidR="00E91D60" w:rsidRPr="00C27F67" w:rsidRDefault="00E91D60" w:rsidP="00C27F67">
      <w:pPr>
        <w:pStyle w:val="Heading2"/>
        <w:rPr>
          <w:b/>
        </w:rPr>
      </w:pPr>
      <w:r>
        <w:br w:type="page"/>
      </w:r>
      <w:r w:rsidRPr="00C27F67">
        <w:rPr>
          <w:b/>
        </w:rPr>
        <w:lastRenderedPageBreak/>
        <w:t>Part 4. Monitoring</w:t>
      </w:r>
    </w:p>
    <w:p w14:paraId="2F2D7D8C" w14:textId="77777777" w:rsidR="00E91D60" w:rsidRPr="00C5265D" w:rsidRDefault="00E91D60" w:rsidP="00E91D60">
      <w:pPr>
        <w:autoSpaceDE w:val="0"/>
        <w:autoSpaceDN w:val="0"/>
        <w:adjustRightInd w:val="0"/>
        <w:rPr>
          <w:rFonts w:cs="Arial"/>
          <w:b/>
          <w:sz w:val="36"/>
          <w:szCs w:val="36"/>
        </w:rPr>
      </w:pPr>
    </w:p>
    <w:p w14:paraId="7F362C03" w14:textId="77777777" w:rsidR="00E91D60" w:rsidRPr="001C7651" w:rsidRDefault="00E91D60" w:rsidP="00E91D60">
      <w:pPr>
        <w:autoSpaceDE w:val="0"/>
        <w:autoSpaceDN w:val="0"/>
        <w:adjustRightInd w:val="0"/>
        <w:rPr>
          <w:rFonts w:cs="Arial"/>
          <w:sz w:val="28"/>
          <w:szCs w:val="28"/>
        </w:rPr>
      </w:pPr>
      <w:r w:rsidRPr="001C7651">
        <w:rPr>
          <w:rFonts w:cs="Arial"/>
          <w:sz w:val="28"/>
          <w:szCs w:val="28"/>
        </w:rPr>
        <w:t xml:space="preserve">Public authorities should consider the guidance contained in the Commission’s Monitoring Guidance for Use by Public Authorities (July 2007). </w:t>
      </w:r>
    </w:p>
    <w:p w14:paraId="5C436C38" w14:textId="77777777" w:rsidR="00E91D60" w:rsidRPr="001C7651" w:rsidRDefault="00E91D60" w:rsidP="00E91D60">
      <w:pPr>
        <w:autoSpaceDE w:val="0"/>
        <w:autoSpaceDN w:val="0"/>
        <w:adjustRightInd w:val="0"/>
        <w:rPr>
          <w:rFonts w:cs="Arial"/>
          <w:sz w:val="28"/>
          <w:szCs w:val="28"/>
        </w:rPr>
      </w:pPr>
    </w:p>
    <w:p w14:paraId="219B875F" w14:textId="77777777" w:rsidR="00E91D60" w:rsidRPr="001C7651" w:rsidRDefault="00E91D60" w:rsidP="00E91D60">
      <w:pPr>
        <w:autoSpaceDE w:val="0"/>
        <w:autoSpaceDN w:val="0"/>
        <w:adjustRightInd w:val="0"/>
        <w:rPr>
          <w:rFonts w:cs="Arial"/>
          <w:sz w:val="28"/>
          <w:szCs w:val="28"/>
        </w:rPr>
      </w:pPr>
      <w:r>
        <w:rPr>
          <w:rFonts w:cs="Arial"/>
          <w:sz w:val="28"/>
          <w:szCs w:val="28"/>
        </w:rPr>
        <w:t>T</w:t>
      </w:r>
      <w:r w:rsidRPr="001C7651">
        <w:rPr>
          <w:rFonts w:cs="Arial"/>
          <w:sz w:val="28"/>
          <w:szCs w:val="28"/>
        </w:rPr>
        <w:t xml:space="preserve">he Commission recommends that </w:t>
      </w:r>
      <w:r>
        <w:rPr>
          <w:rFonts w:cs="Arial"/>
          <w:sz w:val="28"/>
          <w:szCs w:val="28"/>
        </w:rPr>
        <w:t>where the policy has been amended or an alternative policy introduced, the public authority should monitor</w:t>
      </w:r>
      <w:r w:rsidRPr="001C7651">
        <w:rPr>
          <w:rFonts w:cs="Arial"/>
          <w:sz w:val="28"/>
          <w:szCs w:val="28"/>
        </w:rPr>
        <w:t xml:space="preserve"> more broadly than for adverse impact (See Benefits, P.9-10, paras 2.13 – 2.20 of the Monitoring Guidance).</w:t>
      </w:r>
    </w:p>
    <w:p w14:paraId="66A517FC" w14:textId="77777777" w:rsidR="00E91D60" w:rsidRPr="001C7651" w:rsidRDefault="00E91D60" w:rsidP="00E91D60">
      <w:pPr>
        <w:autoSpaceDE w:val="0"/>
        <w:autoSpaceDN w:val="0"/>
        <w:adjustRightInd w:val="0"/>
        <w:rPr>
          <w:rFonts w:cs="Arial"/>
          <w:sz w:val="28"/>
          <w:szCs w:val="28"/>
        </w:rPr>
      </w:pPr>
    </w:p>
    <w:p w14:paraId="6695FB88" w14:textId="77777777" w:rsidR="00E91D60" w:rsidRDefault="00E91D60" w:rsidP="00E91D60">
      <w:pPr>
        <w:autoSpaceDE w:val="0"/>
        <w:autoSpaceDN w:val="0"/>
        <w:adjustRightInd w:val="0"/>
        <w:rPr>
          <w:rFonts w:cs="Arial"/>
          <w:sz w:val="28"/>
          <w:szCs w:val="28"/>
        </w:rPr>
      </w:pPr>
      <w:r w:rsidRPr="001C7651">
        <w:rPr>
          <w:rFonts w:cs="Arial"/>
          <w:sz w:val="28"/>
          <w:szCs w:val="28"/>
        </w:rPr>
        <w:t xml:space="preserve">Effective monitoring will help the public authority identify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14:paraId="22DF7A35" w14:textId="77777777" w:rsidR="00E91D60" w:rsidRDefault="00E91D60" w:rsidP="00E91D60">
      <w:pPr>
        <w:autoSpaceDE w:val="0"/>
        <w:autoSpaceDN w:val="0"/>
        <w:adjustRightInd w:val="0"/>
        <w:rPr>
          <w:rFonts w:cs="Arial"/>
          <w:sz w:val="28"/>
          <w:szCs w:val="28"/>
        </w:rPr>
      </w:pPr>
    </w:p>
    <w:p w14:paraId="2478C993" w14:textId="5F1614C4" w:rsidR="00B27E09" w:rsidRDefault="00B27E09" w:rsidP="00B27E09">
      <w:pPr>
        <w:autoSpaceDE w:val="0"/>
        <w:autoSpaceDN w:val="0"/>
        <w:adjustRightInd w:val="0"/>
        <w:rPr>
          <w:rFonts w:cs="Arial"/>
          <w:sz w:val="28"/>
          <w:szCs w:val="28"/>
        </w:rPr>
      </w:pPr>
      <w:r>
        <w:rPr>
          <w:rFonts w:cs="Arial"/>
          <w:sz w:val="28"/>
          <w:szCs w:val="28"/>
        </w:rPr>
        <w:t xml:space="preserve">Although no impacts have been identified at this stage, and the policy has been screened out, DfE is carrying out a consultation on this proposal and will consider any response or data that is relevant and update the screening following closure of the consultation, including whether this reveals any relevance for monitoring.    </w:t>
      </w:r>
    </w:p>
    <w:p w14:paraId="48D9C293" w14:textId="77777777" w:rsidR="00B27E09" w:rsidRDefault="00B27E09" w:rsidP="00B27E09">
      <w:pPr>
        <w:jc w:val="both"/>
        <w:rPr>
          <w:rFonts w:cs="Arial"/>
          <w:sz w:val="28"/>
          <w:szCs w:val="28"/>
        </w:rPr>
      </w:pPr>
    </w:p>
    <w:p w14:paraId="650A67C1" w14:textId="7853475D" w:rsidR="00B27E09" w:rsidRDefault="00B27E09" w:rsidP="00B27E09">
      <w:pPr>
        <w:jc w:val="both"/>
        <w:rPr>
          <w:rFonts w:cs="Arial"/>
          <w:sz w:val="28"/>
          <w:szCs w:val="28"/>
        </w:rPr>
      </w:pPr>
      <w:r>
        <w:rPr>
          <w:rFonts w:cs="Arial"/>
          <w:sz w:val="28"/>
          <w:szCs w:val="28"/>
        </w:rPr>
        <w:t>This proposal is technical in nature, although parts of it may be used in future to benefit the economy</w:t>
      </w:r>
      <w:r w:rsidR="004515CC">
        <w:rPr>
          <w:rFonts w:cs="Arial"/>
          <w:sz w:val="28"/>
          <w:szCs w:val="28"/>
        </w:rPr>
        <w:t>.</w:t>
      </w:r>
    </w:p>
    <w:p w14:paraId="5B3B3599" w14:textId="77777777" w:rsidR="00B27E09" w:rsidRDefault="00B27E09" w:rsidP="00B27E09">
      <w:pPr>
        <w:jc w:val="both"/>
        <w:rPr>
          <w:rFonts w:cs="Arial"/>
          <w:sz w:val="28"/>
          <w:szCs w:val="28"/>
        </w:rPr>
      </w:pPr>
    </w:p>
    <w:p w14:paraId="09840A4C" w14:textId="2A2C9AE4" w:rsidR="00B27E09" w:rsidRDefault="00B27E09" w:rsidP="00B27E09">
      <w:pPr>
        <w:autoSpaceDE w:val="0"/>
        <w:autoSpaceDN w:val="0"/>
        <w:adjustRightInd w:val="0"/>
        <w:rPr>
          <w:rFonts w:cs="Arial"/>
          <w:sz w:val="28"/>
          <w:szCs w:val="28"/>
        </w:rPr>
      </w:pPr>
      <w:r>
        <w:rPr>
          <w:rFonts w:cs="Arial"/>
          <w:sz w:val="28"/>
          <w:szCs w:val="28"/>
        </w:rPr>
        <w:t xml:space="preserve">Future implementation of specific policies or projects which are enabled by these provisions will be </w:t>
      </w:r>
      <w:r w:rsidRPr="00A448DE">
        <w:rPr>
          <w:rFonts w:cs="Arial"/>
          <w:sz w:val="28"/>
          <w:szCs w:val="28"/>
        </w:rPr>
        <w:t>considered in accordance with DfE’s Equality Scheme</w:t>
      </w:r>
      <w:r>
        <w:rPr>
          <w:rFonts w:cs="Arial"/>
          <w:sz w:val="28"/>
          <w:szCs w:val="28"/>
        </w:rPr>
        <w:t xml:space="preserve"> on a case by case basis by the relevant policy / project lead, including screening / monitoring as appropriate. </w:t>
      </w:r>
    </w:p>
    <w:p w14:paraId="298BC5AD" w14:textId="77777777" w:rsidR="00B27E09" w:rsidRDefault="00B27E09" w:rsidP="00B27E09">
      <w:pPr>
        <w:autoSpaceDE w:val="0"/>
        <w:autoSpaceDN w:val="0"/>
        <w:adjustRightInd w:val="0"/>
        <w:rPr>
          <w:rFonts w:cs="Arial"/>
          <w:b/>
          <w:sz w:val="28"/>
          <w:szCs w:val="28"/>
        </w:rPr>
      </w:pPr>
    </w:p>
    <w:p w14:paraId="496F90E3" w14:textId="77777777" w:rsidR="00B27E09" w:rsidRDefault="00B27E09" w:rsidP="00E91D60">
      <w:pPr>
        <w:autoSpaceDE w:val="0"/>
        <w:autoSpaceDN w:val="0"/>
        <w:adjustRightInd w:val="0"/>
        <w:rPr>
          <w:rFonts w:cs="Arial"/>
          <w:sz w:val="28"/>
          <w:szCs w:val="28"/>
        </w:rPr>
      </w:pPr>
    </w:p>
    <w:p w14:paraId="77F9E21F" w14:textId="77777777" w:rsidR="00B27E09" w:rsidRDefault="00B27E09" w:rsidP="00E91D60">
      <w:pPr>
        <w:autoSpaceDE w:val="0"/>
        <w:autoSpaceDN w:val="0"/>
        <w:adjustRightInd w:val="0"/>
        <w:rPr>
          <w:rFonts w:cs="Arial"/>
          <w:sz w:val="28"/>
          <w:szCs w:val="28"/>
        </w:rPr>
      </w:pPr>
    </w:p>
    <w:p w14:paraId="72600902" w14:textId="77777777" w:rsidR="00E91D60" w:rsidRDefault="00E91D60" w:rsidP="00E91D60">
      <w:pPr>
        <w:autoSpaceDE w:val="0"/>
        <w:autoSpaceDN w:val="0"/>
        <w:adjustRightInd w:val="0"/>
        <w:rPr>
          <w:rFonts w:cs="Arial"/>
          <w:sz w:val="28"/>
          <w:szCs w:val="28"/>
        </w:rPr>
      </w:pPr>
    </w:p>
    <w:p w14:paraId="6946960C" w14:textId="77777777" w:rsidR="00E91D60" w:rsidRPr="00C27F67" w:rsidRDefault="00E91D60" w:rsidP="00C27F67">
      <w:pPr>
        <w:pStyle w:val="Heading2"/>
        <w:rPr>
          <w:b/>
        </w:rPr>
      </w:pPr>
      <w:r w:rsidRPr="00C27F67">
        <w:rPr>
          <w:b/>
        </w:rPr>
        <w:t>Part 5 - Approval and authorisation</w:t>
      </w:r>
    </w:p>
    <w:p w14:paraId="53F7422B" w14:textId="77777777" w:rsidR="00E91D60" w:rsidRDefault="00E91D60" w:rsidP="00E91D60">
      <w:pPr>
        <w:pStyle w:val="BodyTextIndent2"/>
        <w:rPr>
          <w:b/>
        </w:rPr>
      </w:pPr>
    </w:p>
    <w:p w14:paraId="4FB25678" w14:textId="65C37B29" w:rsidR="00E91D60" w:rsidRPr="00C21A24" w:rsidRDefault="00C21A24" w:rsidP="00C21A24">
      <w:pPr>
        <w:pStyle w:val="BodyTextIndent2"/>
        <w:ind w:left="360"/>
        <w:rPr>
          <w:szCs w:val="28"/>
        </w:rPr>
      </w:pPr>
      <w:r w:rsidRPr="00C21A24">
        <w:rPr>
          <w:szCs w:val="28"/>
        </w:rPr>
        <w:t>Screened by:</w:t>
      </w:r>
      <w:r w:rsidR="002C22BB">
        <w:rPr>
          <w:szCs w:val="28"/>
        </w:rPr>
        <w:t xml:space="preserve"> Heidi-Beth Hudson </w:t>
      </w:r>
    </w:p>
    <w:p w14:paraId="07AC1430" w14:textId="007B59F4" w:rsidR="00C21A24" w:rsidRDefault="00C21A24" w:rsidP="00C21A24">
      <w:pPr>
        <w:pStyle w:val="BodyTextIndent2"/>
        <w:ind w:left="360"/>
        <w:rPr>
          <w:szCs w:val="28"/>
        </w:rPr>
      </w:pPr>
      <w:r w:rsidRPr="00C21A24">
        <w:rPr>
          <w:szCs w:val="28"/>
        </w:rPr>
        <w:t>Position/Job Title:</w:t>
      </w:r>
      <w:r w:rsidR="002C22BB">
        <w:rPr>
          <w:szCs w:val="28"/>
        </w:rPr>
        <w:t xml:space="preserve"> Principal</w:t>
      </w:r>
      <w:r w:rsidR="0022227B">
        <w:rPr>
          <w:szCs w:val="28"/>
        </w:rPr>
        <w:t xml:space="preserve"> – Financial Provisions</w:t>
      </w:r>
      <w:r w:rsidR="0068301E">
        <w:rPr>
          <w:szCs w:val="28"/>
        </w:rPr>
        <w:t xml:space="preserve"> Legislation</w:t>
      </w:r>
      <w:r w:rsidR="0022227B">
        <w:rPr>
          <w:szCs w:val="28"/>
        </w:rPr>
        <w:t xml:space="preserve"> </w:t>
      </w:r>
    </w:p>
    <w:p w14:paraId="6F8F19B3" w14:textId="106F2EC7" w:rsidR="00705E20" w:rsidRPr="0068301E" w:rsidRDefault="00705E20" w:rsidP="00C21A24">
      <w:pPr>
        <w:pStyle w:val="BodyTextIndent2"/>
        <w:ind w:left="360"/>
        <w:rPr>
          <w:szCs w:val="28"/>
        </w:rPr>
      </w:pPr>
      <w:r>
        <w:rPr>
          <w:szCs w:val="28"/>
        </w:rPr>
        <w:t>Business Area/ Branch</w:t>
      </w:r>
      <w:r w:rsidR="00C3003A" w:rsidRPr="0068301E">
        <w:rPr>
          <w:szCs w:val="28"/>
        </w:rPr>
        <w:t>:</w:t>
      </w:r>
      <w:r w:rsidR="0022227B" w:rsidRPr="0068301E">
        <w:rPr>
          <w:szCs w:val="28"/>
        </w:rPr>
        <w:t xml:space="preserve"> Economic Vision  </w:t>
      </w:r>
    </w:p>
    <w:p w14:paraId="5FD9E4EE" w14:textId="430ECF6D" w:rsidR="00C21A24" w:rsidRPr="00C21A24" w:rsidRDefault="00C21A24" w:rsidP="00C21A24">
      <w:pPr>
        <w:pStyle w:val="BodyTextIndent2"/>
        <w:ind w:left="360"/>
        <w:rPr>
          <w:szCs w:val="28"/>
        </w:rPr>
      </w:pPr>
      <w:r w:rsidRPr="0068301E">
        <w:rPr>
          <w:szCs w:val="28"/>
        </w:rPr>
        <w:t>Date:</w:t>
      </w:r>
      <w:r w:rsidR="0022227B" w:rsidRPr="0068301E">
        <w:rPr>
          <w:szCs w:val="28"/>
        </w:rPr>
        <w:t xml:space="preserve"> </w:t>
      </w:r>
      <w:r w:rsidR="0068301E">
        <w:rPr>
          <w:szCs w:val="28"/>
        </w:rPr>
        <w:t>24 May 2024</w:t>
      </w:r>
    </w:p>
    <w:p w14:paraId="453076DF" w14:textId="77777777" w:rsidR="00C21A24" w:rsidRPr="00C21A24" w:rsidRDefault="00C21A24" w:rsidP="00C21A24">
      <w:pPr>
        <w:pStyle w:val="BodyTextIndent2"/>
        <w:ind w:left="360"/>
        <w:rPr>
          <w:szCs w:val="28"/>
        </w:rPr>
      </w:pPr>
    </w:p>
    <w:p w14:paraId="6F4D1EE1" w14:textId="2E3B8E8A" w:rsidR="00C21A24" w:rsidRPr="00C21A24" w:rsidRDefault="00C21A24" w:rsidP="00C21A24">
      <w:pPr>
        <w:pStyle w:val="BodyTextIndent2"/>
        <w:ind w:left="360"/>
        <w:rPr>
          <w:rFonts w:cs="Arial"/>
          <w:szCs w:val="28"/>
        </w:rPr>
      </w:pPr>
      <w:r w:rsidRPr="00C21A24">
        <w:rPr>
          <w:rFonts w:cs="Arial"/>
          <w:szCs w:val="28"/>
        </w:rPr>
        <w:t>Approved by:</w:t>
      </w:r>
      <w:r w:rsidR="003F73F0">
        <w:rPr>
          <w:rFonts w:cs="Arial"/>
          <w:szCs w:val="28"/>
        </w:rPr>
        <w:t xml:space="preserve"> </w:t>
      </w:r>
      <w:r w:rsidR="003F73F0" w:rsidRPr="003F73F0">
        <w:rPr>
          <w:rFonts w:cs="Arial"/>
          <w:szCs w:val="28"/>
        </w:rPr>
        <w:t>Giulia n</w:t>
      </w:r>
      <w:r w:rsidR="003F73F0">
        <w:rPr>
          <w:rFonts w:cs="Arial"/>
          <w:szCs w:val="28"/>
        </w:rPr>
        <w:t>í</w:t>
      </w:r>
      <w:r w:rsidR="003F73F0" w:rsidRPr="003F73F0">
        <w:rPr>
          <w:rFonts w:cs="Arial"/>
          <w:szCs w:val="28"/>
        </w:rPr>
        <w:t xml:space="preserve"> </w:t>
      </w:r>
      <w:r w:rsidR="003F73F0" w:rsidRPr="003F73F0">
        <w:rPr>
          <w:szCs w:val="28"/>
        </w:rPr>
        <w:t>Dhulchaointigh</w:t>
      </w:r>
    </w:p>
    <w:p w14:paraId="7CA67DB8" w14:textId="3FDCFB86" w:rsidR="00C21A24" w:rsidRDefault="00C21A24" w:rsidP="00C21A24">
      <w:pPr>
        <w:pStyle w:val="BodyTextIndent2"/>
        <w:ind w:left="360"/>
        <w:rPr>
          <w:szCs w:val="28"/>
        </w:rPr>
      </w:pPr>
      <w:r w:rsidRPr="00C21A24">
        <w:rPr>
          <w:szCs w:val="28"/>
        </w:rPr>
        <w:t>Position/Job Title:</w:t>
      </w:r>
      <w:r w:rsidR="003F73F0">
        <w:rPr>
          <w:szCs w:val="28"/>
        </w:rPr>
        <w:t xml:space="preserve"> Director </w:t>
      </w:r>
    </w:p>
    <w:p w14:paraId="1A31EFE9" w14:textId="7B4A4070" w:rsidR="00705E20" w:rsidRPr="00C21A24" w:rsidRDefault="00705E20" w:rsidP="00C21A24">
      <w:pPr>
        <w:pStyle w:val="BodyTextIndent2"/>
        <w:ind w:left="360"/>
        <w:rPr>
          <w:szCs w:val="28"/>
        </w:rPr>
      </w:pPr>
      <w:r>
        <w:rPr>
          <w:szCs w:val="28"/>
        </w:rPr>
        <w:lastRenderedPageBreak/>
        <w:t>Business Area/Branch</w:t>
      </w:r>
      <w:r w:rsidR="00C3003A" w:rsidRPr="00C21A24">
        <w:rPr>
          <w:szCs w:val="28"/>
        </w:rPr>
        <w:t>:</w:t>
      </w:r>
      <w:r w:rsidR="003F73F0">
        <w:rPr>
          <w:szCs w:val="28"/>
        </w:rPr>
        <w:t xml:space="preserve"> Economic Vision </w:t>
      </w:r>
      <w:r w:rsidR="0068301E">
        <w:rPr>
          <w:szCs w:val="28"/>
        </w:rPr>
        <w:t>Directorate</w:t>
      </w:r>
    </w:p>
    <w:p w14:paraId="08CD7F10" w14:textId="32CE51EF" w:rsidR="00C21A24" w:rsidRPr="00C21A24" w:rsidRDefault="00C21A24" w:rsidP="00C21A24">
      <w:pPr>
        <w:pStyle w:val="BodyTextIndent2"/>
        <w:ind w:left="360"/>
        <w:rPr>
          <w:szCs w:val="28"/>
        </w:rPr>
      </w:pPr>
      <w:r w:rsidRPr="00C21A24">
        <w:rPr>
          <w:szCs w:val="28"/>
        </w:rPr>
        <w:t>Date:</w:t>
      </w:r>
      <w:r w:rsidR="00BE6C0F">
        <w:rPr>
          <w:szCs w:val="28"/>
        </w:rPr>
        <w:t xml:space="preserve"> 29 May 2024</w:t>
      </w:r>
    </w:p>
    <w:p w14:paraId="4E902BE1" w14:textId="77777777" w:rsidR="00C21A24" w:rsidRDefault="00C21A24" w:rsidP="00C21A24">
      <w:pPr>
        <w:pStyle w:val="BodyTextIndent2"/>
        <w:ind w:left="360"/>
        <w:rPr>
          <w:b/>
        </w:rPr>
      </w:pPr>
    </w:p>
    <w:p w14:paraId="0BF030E1" w14:textId="77777777" w:rsidR="00C21A24" w:rsidRDefault="00C21A24" w:rsidP="00E91D60">
      <w:pPr>
        <w:rPr>
          <w:sz w:val="28"/>
          <w:szCs w:val="28"/>
        </w:rPr>
      </w:pPr>
    </w:p>
    <w:p w14:paraId="64CD9CA3" w14:textId="03735194" w:rsidR="00705E20" w:rsidRDefault="00E91D60" w:rsidP="00E91D60">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easily accessible on the public authority’s website as soon as possible following completion and made available on request. </w:t>
      </w:r>
    </w:p>
    <w:p w14:paraId="3EFF0F4D" w14:textId="77777777" w:rsidR="00705E20" w:rsidRDefault="00705E20" w:rsidP="00E91D60"/>
    <w:sectPr w:rsidR="00705E20" w:rsidSect="001A42D6">
      <w:footerReference w:type="even" r:id="rId14"/>
      <w:footerReference w:type="default" r:id="rId15"/>
      <w:pgSz w:w="12240" w:h="15840"/>
      <w:pgMar w:top="1135"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9EC7" w14:textId="77777777" w:rsidR="007103CC" w:rsidRDefault="007103CC">
      <w:r>
        <w:separator/>
      </w:r>
    </w:p>
  </w:endnote>
  <w:endnote w:type="continuationSeparator" w:id="0">
    <w:p w14:paraId="3BDF5817" w14:textId="77777777" w:rsidR="007103CC" w:rsidRDefault="007103CC">
      <w:r>
        <w:continuationSeparator/>
      </w:r>
    </w:p>
  </w:endnote>
  <w:endnote w:type="continuationNotice" w:id="1">
    <w:p w14:paraId="685FD20F" w14:textId="77777777" w:rsidR="007103CC" w:rsidRDefault="0071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97DE"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22A">
      <w:rPr>
        <w:rStyle w:val="PageNumber"/>
        <w:noProof/>
      </w:rPr>
      <w:t>3</w:t>
    </w:r>
    <w:r>
      <w:rPr>
        <w:rStyle w:val="PageNumber"/>
      </w:rPr>
      <w:fldChar w:fldCharType="end"/>
    </w:r>
  </w:p>
  <w:p w14:paraId="60B50D6B"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588924"/>
      <w:docPartObj>
        <w:docPartGallery w:val="Page Numbers (Bottom of Page)"/>
        <w:docPartUnique/>
      </w:docPartObj>
    </w:sdtPr>
    <w:sdtEndPr>
      <w:rPr>
        <w:noProof/>
      </w:rPr>
    </w:sdtEndPr>
    <w:sdtContent>
      <w:p w14:paraId="2489D056" w14:textId="3CDAA02A" w:rsidR="003C1CDC" w:rsidRDefault="003C1C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8D9FCF"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5858" w14:textId="77777777" w:rsidR="007103CC" w:rsidRDefault="007103CC">
      <w:r>
        <w:separator/>
      </w:r>
    </w:p>
  </w:footnote>
  <w:footnote w:type="continuationSeparator" w:id="0">
    <w:p w14:paraId="6A7EC0EA" w14:textId="77777777" w:rsidR="007103CC" w:rsidRDefault="007103CC">
      <w:r>
        <w:continuationSeparator/>
      </w:r>
    </w:p>
  </w:footnote>
  <w:footnote w:type="continuationNotice" w:id="1">
    <w:p w14:paraId="0D676C89" w14:textId="77777777" w:rsidR="007103CC" w:rsidRDefault="007103CC"/>
  </w:footnote>
  <w:footnote w:id="2">
    <w:p w14:paraId="4C592257" w14:textId="77777777" w:rsidR="000B46A0" w:rsidRPr="00E41684" w:rsidRDefault="000B46A0" w:rsidP="000B46A0">
      <w:pPr>
        <w:pStyle w:val="FootnoteText"/>
        <w:rPr>
          <w:lang w:val="en-US"/>
        </w:rPr>
      </w:pPr>
      <w:r>
        <w:rPr>
          <w:rStyle w:val="FootnoteReference"/>
        </w:rPr>
        <w:footnoteRef/>
      </w:r>
      <w:r>
        <w:t xml:space="preserve"> As amended by </w:t>
      </w:r>
      <w:hyperlink r:id="rId1" w:anchor="commentary-c5471131" w:history="1">
        <w:r w:rsidRPr="00DB140A">
          <w:rPr>
            <w:color w:val="0000FF"/>
            <w:sz w:val="22"/>
            <w:szCs w:val="22"/>
            <w:u w:val="single"/>
          </w:rPr>
          <w:t>The Employment and Training (Amendment) (Northern Ireland) Order 1988 (legislation.gov.uk)</w:t>
        </w:r>
      </w:hyperlink>
      <w:r>
        <w:rPr>
          <w:sz w:val="22"/>
          <w:szCs w:val="22"/>
        </w:rPr>
        <w:t>.</w:t>
      </w:r>
    </w:p>
  </w:footnote>
  <w:footnote w:id="3">
    <w:p w14:paraId="2D3B1700" w14:textId="6D636961" w:rsidR="00B373D3" w:rsidRDefault="00B373D3" w:rsidP="00B373D3">
      <w:pPr>
        <w:pStyle w:val="FootnoteText"/>
      </w:pPr>
      <w:r>
        <w:rPr>
          <w:rStyle w:val="FootnoteReference"/>
        </w:rPr>
        <w:footnoteRef/>
      </w:r>
      <w:r>
        <w:t xml:space="preserve"> </w:t>
      </w:r>
      <w:bookmarkStart w:id="3" w:name="_Hlk115363575"/>
      <w:r>
        <w:t xml:space="preserve">NISRA, </w:t>
      </w:r>
      <w:hyperlink r:id="rId2" w:history="1">
        <w:r>
          <w:rPr>
            <w:rStyle w:val="Hyperlink"/>
          </w:rPr>
          <w:t xml:space="preserve">Census 2021 main statistics for Northern Ireland </w:t>
        </w:r>
      </w:hyperlink>
      <w:r w:rsidR="00F516F9">
        <w:rPr>
          <w:rStyle w:val="Hyperlink"/>
        </w:rPr>
        <w:t>table MS-B19 religion (updated)</w:t>
      </w:r>
      <w:r>
        <w:t xml:space="preserve"> </w:t>
      </w:r>
      <w:bookmarkEnd w:id="3"/>
    </w:p>
    <w:p w14:paraId="4EEE3391" w14:textId="77777777" w:rsidR="00B373D3" w:rsidRDefault="00B373D3" w:rsidP="00B373D3">
      <w:pPr>
        <w:pStyle w:val="FootnoteText"/>
      </w:pPr>
    </w:p>
  </w:footnote>
  <w:footnote w:id="4">
    <w:p w14:paraId="233D1E5D" w14:textId="72C2D004" w:rsidR="00B373D3" w:rsidRDefault="00B373D3" w:rsidP="00B373D3">
      <w:pPr>
        <w:pStyle w:val="FootnoteText"/>
      </w:pPr>
      <w:r>
        <w:rPr>
          <w:rStyle w:val="FootnoteReference"/>
        </w:rPr>
        <w:footnoteRef/>
      </w:r>
      <w:r>
        <w:t xml:space="preserve"> Equality Commission for NI, </w:t>
      </w:r>
      <w:hyperlink r:id="rId3" w:history="1">
        <w:r>
          <w:rPr>
            <w:rStyle w:val="Hyperlink"/>
          </w:rPr>
          <w:t>Fair Employment Monitoring Report No. 3</w:t>
        </w:r>
        <w:r w:rsidR="005E2A99">
          <w:rPr>
            <w:rStyle w:val="Hyperlink"/>
          </w:rPr>
          <w:t>2</w:t>
        </w:r>
        <w:r>
          <w:rPr>
            <w:rStyle w:val="Hyperlink"/>
          </w:rPr>
          <w:t xml:space="preserve"> (202</w:t>
        </w:r>
        <w:r w:rsidR="005E2A99">
          <w:rPr>
            <w:rStyle w:val="Hyperlink"/>
          </w:rPr>
          <w:t>1</w:t>
        </w:r>
        <w:r>
          <w:rPr>
            <w:rStyle w:val="Hyperlink"/>
          </w:rPr>
          <w:t xml:space="preserve"> Monitoring Returns)</w:t>
        </w:r>
      </w:hyperlink>
      <w:r>
        <w:t xml:space="preserve"> </w:t>
      </w:r>
    </w:p>
  </w:footnote>
  <w:footnote w:id="5">
    <w:p w14:paraId="166E3BDE" w14:textId="664FE8BB" w:rsidR="0081629B" w:rsidRDefault="0081629B" w:rsidP="0081629B">
      <w:pPr>
        <w:pStyle w:val="FootnoteText"/>
      </w:pPr>
      <w:r>
        <w:rPr>
          <w:rStyle w:val="FootnoteReference"/>
        </w:rPr>
        <w:footnoteRef/>
      </w:r>
      <w:r>
        <w:t xml:space="preserve"> NI Life and Times Survey 2022, </w:t>
      </w:r>
      <w:hyperlink r:id="rId4" w:history="1">
        <w:r w:rsidRPr="000E105E">
          <w:rPr>
            <w:rStyle w:val="Hyperlink"/>
          </w:rPr>
          <w:t>political attitudes</w:t>
        </w:r>
      </w:hyperlink>
    </w:p>
  </w:footnote>
  <w:footnote w:id="6">
    <w:p w14:paraId="6FC121CE" w14:textId="4F2E85C3" w:rsidR="00E6269C" w:rsidRPr="00E6269C" w:rsidRDefault="00E6269C">
      <w:pPr>
        <w:pStyle w:val="FootnoteText"/>
        <w:rPr>
          <w:lang w:val="en-US"/>
        </w:rPr>
      </w:pPr>
      <w:r>
        <w:rPr>
          <w:rStyle w:val="FootnoteReference"/>
        </w:rPr>
        <w:footnoteRef/>
      </w:r>
      <w:r>
        <w:t xml:space="preserve"> </w:t>
      </w:r>
      <w:r w:rsidR="00B83DFF">
        <w:t>NISRA as footnote 1</w:t>
      </w:r>
      <w:r w:rsidR="008D3CF2">
        <w:t xml:space="preserve">, </w:t>
      </w:r>
      <w:hyperlink r:id="rId5" w:history="1">
        <w:r w:rsidR="008D3CF2" w:rsidRPr="008D3CF2">
          <w:rPr>
            <w:rStyle w:val="Hyperlink"/>
          </w:rPr>
          <w:t>table MS-B01 ethnic group</w:t>
        </w:r>
      </w:hyperlink>
    </w:p>
  </w:footnote>
  <w:footnote w:id="7">
    <w:p w14:paraId="379B2EBD" w14:textId="25FA05FF" w:rsidR="009E3682" w:rsidRDefault="009E3682" w:rsidP="009E3682">
      <w:pPr>
        <w:pStyle w:val="FootnoteText"/>
      </w:pPr>
      <w:r>
        <w:rPr>
          <w:rStyle w:val="FootnoteReference"/>
        </w:rPr>
        <w:footnoteRef/>
      </w:r>
      <w:r>
        <w:t xml:space="preserve"> </w:t>
      </w:r>
      <w:r w:rsidRPr="000E105E">
        <w:t>NISRA,</w:t>
      </w:r>
      <w:r>
        <w:t xml:space="preserve"> as footnote 1</w:t>
      </w:r>
      <w:r w:rsidR="00106398">
        <w:t xml:space="preserve">, </w:t>
      </w:r>
      <w:hyperlink r:id="rId6" w:history="1">
        <w:r w:rsidR="008D3CF2" w:rsidRPr="008D3CF2">
          <w:rPr>
            <w:rStyle w:val="Hyperlink"/>
          </w:rPr>
          <w:t>table MS-A01 five year age bands</w:t>
        </w:r>
      </w:hyperlink>
      <w:r w:rsidR="008D3CF2">
        <w:t xml:space="preserve"> </w:t>
      </w:r>
    </w:p>
  </w:footnote>
  <w:footnote w:id="8">
    <w:p w14:paraId="1E7B8EF5" w14:textId="3A4CF3EE" w:rsidR="00BA3E06" w:rsidRPr="00BA3E06" w:rsidRDefault="00BA3E06">
      <w:pPr>
        <w:pStyle w:val="FootnoteText"/>
        <w:rPr>
          <w:lang w:val="en-US"/>
        </w:rPr>
      </w:pPr>
      <w:r>
        <w:rPr>
          <w:rStyle w:val="FootnoteReference"/>
        </w:rPr>
        <w:footnoteRef/>
      </w:r>
      <w:r>
        <w:t xml:space="preserve"> </w:t>
      </w:r>
      <w:r>
        <w:rPr>
          <w:lang w:val="en-US"/>
        </w:rPr>
        <w:t xml:space="preserve">NISRA, as footnote 1, </w:t>
      </w:r>
      <w:hyperlink r:id="rId7" w:history="1">
        <w:r w:rsidRPr="00BA3E06">
          <w:rPr>
            <w:rStyle w:val="Hyperlink"/>
            <w:lang w:val="en-US"/>
          </w:rPr>
          <w:t>table MS-A30 marital</w:t>
        </w:r>
        <w:r>
          <w:rPr>
            <w:rStyle w:val="Hyperlink"/>
            <w:lang w:val="en-US"/>
          </w:rPr>
          <w:t xml:space="preserve"> </w:t>
        </w:r>
        <w:r w:rsidRPr="00BA3E06">
          <w:rPr>
            <w:rStyle w:val="Hyperlink"/>
            <w:lang w:val="en-US"/>
          </w:rPr>
          <w:t>and civil partnership status</w:t>
        </w:r>
      </w:hyperlink>
      <w:r>
        <w:rPr>
          <w:lang w:val="en-US"/>
        </w:rPr>
        <w:t xml:space="preserve"> </w:t>
      </w:r>
    </w:p>
  </w:footnote>
  <w:footnote w:id="9">
    <w:p w14:paraId="7BFE9D51" w14:textId="3B53BB98" w:rsidR="00887A1A" w:rsidRPr="00887A1A" w:rsidRDefault="00887A1A">
      <w:pPr>
        <w:pStyle w:val="FootnoteText"/>
        <w:rPr>
          <w:lang w:val="en-US"/>
        </w:rPr>
      </w:pPr>
      <w:r>
        <w:rPr>
          <w:rStyle w:val="FootnoteReference"/>
        </w:rPr>
        <w:footnoteRef/>
      </w:r>
      <w:r>
        <w:t xml:space="preserve"> </w:t>
      </w:r>
      <w:r>
        <w:rPr>
          <w:lang w:val="en-US"/>
        </w:rPr>
        <w:t xml:space="preserve">NISRA, as footnote 1, </w:t>
      </w:r>
      <w:hyperlink r:id="rId8" w:history="1">
        <w:r w:rsidR="00780B5B" w:rsidRPr="00780B5B">
          <w:rPr>
            <w:rStyle w:val="Hyperlink"/>
            <w:lang w:val="en-US"/>
          </w:rPr>
          <w:t>table MS-C04 sexual orientation basic detail</w:t>
        </w:r>
      </w:hyperlink>
    </w:p>
  </w:footnote>
  <w:footnote w:id="10">
    <w:p w14:paraId="631B5017" w14:textId="18D77521" w:rsidR="007343CF" w:rsidRPr="007343CF" w:rsidRDefault="007343CF">
      <w:pPr>
        <w:pStyle w:val="FootnoteText"/>
        <w:rPr>
          <w:lang w:val="en-US"/>
        </w:rPr>
      </w:pPr>
      <w:r>
        <w:rPr>
          <w:rStyle w:val="FootnoteReference"/>
        </w:rPr>
        <w:footnoteRef/>
      </w:r>
      <w:r>
        <w:t xml:space="preserve"> </w:t>
      </w:r>
      <w:r>
        <w:rPr>
          <w:lang w:val="en-US"/>
        </w:rPr>
        <w:t xml:space="preserve">NISRA </w:t>
      </w:r>
      <w:hyperlink r:id="rId9" w:history="1">
        <w:r>
          <w:rPr>
            <w:rStyle w:val="Hyperlink"/>
            <w:lang w:val="en-US"/>
          </w:rPr>
          <w:t xml:space="preserve">Census </w:t>
        </w:r>
        <w:r w:rsidRPr="007343CF">
          <w:rPr>
            <w:rStyle w:val="Hyperlink"/>
            <w:lang w:val="en-US"/>
          </w:rPr>
          <w:t>2021</w:t>
        </w:r>
        <w:r>
          <w:rPr>
            <w:rStyle w:val="Hyperlink"/>
            <w:lang w:val="en-US"/>
          </w:rPr>
          <w:t xml:space="preserve"> S</w:t>
        </w:r>
        <w:r w:rsidRPr="007343CF">
          <w:rPr>
            <w:rStyle w:val="Hyperlink"/>
            <w:lang w:val="en-US"/>
          </w:rPr>
          <w:t>tatistical</w:t>
        </w:r>
        <w:r>
          <w:rPr>
            <w:rStyle w:val="Hyperlink"/>
            <w:lang w:val="en-US"/>
          </w:rPr>
          <w:t xml:space="preserve"> </w:t>
        </w:r>
        <w:r w:rsidRPr="007343CF">
          <w:rPr>
            <w:rStyle w:val="Hyperlink"/>
            <w:lang w:val="en-US"/>
          </w:rPr>
          <w:t>bulletin</w:t>
        </w:r>
        <w:r>
          <w:rPr>
            <w:rStyle w:val="Hyperlink"/>
            <w:lang w:val="en-US"/>
          </w:rPr>
          <w:t xml:space="preserve"> </w:t>
        </w:r>
        <w:r w:rsidRPr="007343CF">
          <w:rPr>
            <w:rStyle w:val="Hyperlink"/>
            <w:lang w:val="en-US"/>
          </w:rPr>
          <w:t>sexual</w:t>
        </w:r>
        <w:r>
          <w:rPr>
            <w:rStyle w:val="Hyperlink"/>
            <w:lang w:val="en-US"/>
          </w:rPr>
          <w:t xml:space="preserve"> </w:t>
        </w:r>
        <w:r w:rsidRPr="007343CF">
          <w:rPr>
            <w:rStyle w:val="Hyperlink"/>
            <w:lang w:val="en-US"/>
          </w:rPr>
          <w:t>orientation</w:t>
        </w:r>
      </w:hyperlink>
    </w:p>
  </w:footnote>
  <w:footnote w:id="11">
    <w:p w14:paraId="0A13582C" w14:textId="394E2261" w:rsidR="00784A8E" w:rsidRDefault="00784A8E" w:rsidP="00784A8E">
      <w:pPr>
        <w:pStyle w:val="FootnoteText"/>
      </w:pPr>
      <w:r>
        <w:rPr>
          <w:rStyle w:val="FootnoteReference"/>
        </w:rPr>
        <w:footnoteRef/>
      </w:r>
      <w:r>
        <w:t xml:space="preserve"> </w:t>
      </w:r>
      <w:r w:rsidRPr="003C480F">
        <w:t xml:space="preserve">NISRA, </w:t>
      </w:r>
      <w:hyperlink r:id="rId10" w:history="1">
        <w:r w:rsidRPr="003C480F">
          <w:rPr>
            <w:rStyle w:val="Hyperlink"/>
          </w:rPr>
          <w:t xml:space="preserve">Census 2021 main statistics for Northern Ireland </w:t>
        </w:r>
      </w:hyperlink>
    </w:p>
  </w:footnote>
  <w:footnote w:id="12">
    <w:p w14:paraId="232A3EAB" w14:textId="522BA11E" w:rsidR="00784A8E" w:rsidRDefault="00784A8E" w:rsidP="00784A8E">
      <w:pPr>
        <w:pStyle w:val="FootnoteText"/>
      </w:pPr>
      <w:r>
        <w:rPr>
          <w:rStyle w:val="FootnoteReference"/>
        </w:rPr>
        <w:footnoteRef/>
      </w:r>
      <w:r>
        <w:t xml:space="preserve"> </w:t>
      </w:r>
      <w:r w:rsidRPr="003C480F">
        <w:t xml:space="preserve">Equality Commission for NI, </w:t>
      </w:r>
      <w:hyperlink r:id="rId11" w:history="1">
        <w:r w:rsidRPr="003C480F">
          <w:rPr>
            <w:rStyle w:val="Hyperlink"/>
          </w:rPr>
          <w:t>Fair Employment Monitoring Report No. 3</w:t>
        </w:r>
        <w:r w:rsidR="00EE361C">
          <w:rPr>
            <w:rStyle w:val="Hyperlink"/>
          </w:rPr>
          <w:t>2</w:t>
        </w:r>
        <w:r w:rsidRPr="003C480F">
          <w:rPr>
            <w:rStyle w:val="Hyperlink"/>
          </w:rPr>
          <w:t xml:space="preserve"> (202</w:t>
        </w:r>
        <w:r w:rsidR="00EE361C">
          <w:rPr>
            <w:rStyle w:val="Hyperlink"/>
          </w:rPr>
          <w:t>1</w:t>
        </w:r>
        <w:r w:rsidRPr="003C480F">
          <w:rPr>
            <w:rStyle w:val="Hyperlink"/>
          </w:rPr>
          <w:t xml:space="preserve"> Monitoring Returns)</w:t>
        </w:r>
      </w:hyperlink>
    </w:p>
  </w:footnote>
  <w:footnote w:id="13">
    <w:p w14:paraId="26B2DFD1" w14:textId="4354491E" w:rsidR="00784A8E" w:rsidRDefault="00784A8E" w:rsidP="00784A8E">
      <w:pPr>
        <w:pStyle w:val="FootnoteText"/>
      </w:pPr>
      <w:r>
        <w:rPr>
          <w:rStyle w:val="FootnoteReference"/>
        </w:rPr>
        <w:footnoteRef/>
      </w:r>
      <w:r>
        <w:t xml:space="preserve"> </w:t>
      </w:r>
      <w:hyperlink r:id="rId12" w:history="1">
        <w:r w:rsidR="009A14AB" w:rsidRPr="009A14AB">
          <w:rPr>
            <w:rStyle w:val="Hyperlink"/>
          </w:rPr>
          <w:t>https://www.nisra.gov.uk/publications/labour-market-report-december-2023</w:t>
        </w:r>
      </w:hyperlink>
    </w:p>
  </w:footnote>
  <w:footnote w:id="14">
    <w:p w14:paraId="37412985" w14:textId="77777777" w:rsidR="00784A8E" w:rsidRDefault="00784A8E" w:rsidP="00784A8E">
      <w:pPr>
        <w:pStyle w:val="FootnoteText"/>
      </w:pPr>
      <w:r>
        <w:rPr>
          <w:rStyle w:val="FootnoteReference"/>
        </w:rPr>
        <w:footnoteRef/>
      </w:r>
      <w:r>
        <w:t xml:space="preserve"> NISRA, </w:t>
      </w:r>
      <w:hyperlink r:id="rId13" w:history="1">
        <w:r w:rsidRPr="003C480F">
          <w:rPr>
            <w:rStyle w:val="Hyperlink"/>
          </w:rPr>
          <w:t>Women in NI 2020/21</w:t>
        </w:r>
      </w:hyperlink>
      <w:r>
        <w:t xml:space="preserve"> </w:t>
      </w:r>
    </w:p>
  </w:footnote>
  <w:footnote w:id="15">
    <w:p w14:paraId="23FFD624" w14:textId="7EF0AB1E" w:rsidR="00EF54E7" w:rsidRPr="00EF54E7" w:rsidRDefault="00EF54E7">
      <w:pPr>
        <w:pStyle w:val="FootnoteText"/>
        <w:rPr>
          <w:lang w:val="en-US"/>
        </w:rPr>
      </w:pPr>
      <w:r>
        <w:rPr>
          <w:rStyle w:val="FootnoteReference"/>
        </w:rPr>
        <w:footnoteRef/>
      </w:r>
      <w:r>
        <w:t xml:space="preserve"> </w:t>
      </w:r>
      <w:r w:rsidR="00465F1A">
        <w:t xml:space="preserve"> </w:t>
      </w:r>
      <w:hyperlink r:id="rId14" w:history="1">
        <w:r w:rsidRPr="00465F1A">
          <w:rPr>
            <w:rStyle w:val="Hyperlink"/>
            <w:lang w:val="en-US"/>
          </w:rPr>
          <w:t xml:space="preserve">Labour </w:t>
        </w:r>
        <w:r w:rsidR="00465F1A" w:rsidRPr="00465F1A">
          <w:rPr>
            <w:rStyle w:val="Hyperlink"/>
            <w:lang w:val="en-US"/>
          </w:rPr>
          <w:t>Force</w:t>
        </w:r>
        <w:r w:rsidRPr="00465F1A">
          <w:rPr>
            <w:rStyle w:val="Hyperlink"/>
            <w:lang w:val="en-US"/>
          </w:rPr>
          <w:t xml:space="preserve"> Survey</w:t>
        </w:r>
        <w:r w:rsidR="00465F1A">
          <w:rPr>
            <w:rStyle w:val="Hyperlink"/>
            <w:lang w:val="en-US"/>
          </w:rPr>
          <w:t xml:space="preserve"> </w:t>
        </w:r>
        <w:r w:rsidR="00F061AD">
          <w:rPr>
            <w:rStyle w:val="Hyperlink"/>
            <w:lang w:val="en-US"/>
          </w:rPr>
          <w:t>(</w:t>
        </w:r>
        <w:r w:rsidR="00465F1A">
          <w:rPr>
            <w:rStyle w:val="Hyperlink"/>
            <w:lang w:val="en-US"/>
          </w:rPr>
          <w:t>headline tables)</w:t>
        </w:r>
        <w:r w:rsidRPr="00465F1A">
          <w:rPr>
            <w:rStyle w:val="Hyperlink"/>
            <w:lang w:val="en-US"/>
          </w:rPr>
          <w:t xml:space="preserve"> </w:t>
        </w:r>
        <w:r w:rsidR="00465F1A" w:rsidRPr="00465F1A">
          <w:rPr>
            <w:rStyle w:val="Hyperlink"/>
            <w:lang w:val="en-US"/>
          </w:rPr>
          <w:t>July – September 2023</w:t>
        </w:r>
      </w:hyperlink>
      <w:r w:rsidR="00465F1A">
        <w:rPr>
          <w:lang w:val="en-US"/>
        </w:rPr>
        <w:t xml:space="preserve"> </w:t>
      </w:r>
    </w:p>
  </w:footnote>
  <w:footnote w:id="16">
    <w:p w14:paraId="6372CD80" w14:textId="77777777" w:rsidR="00141303" w:rsidRDefault="00141303" w:rsidP="00141303">
      <w:pPr>
        <w:pStyle w:val="FootnoteText"/>
      </w:pPr>
      <w:r>
        <w:rPr>
          <w:rStyle w:val="FootnoteReference"/>
        </w:rPr>
        <w:footnoteRef/>
      </w:r>
      <w:r>
        <w:t xml:space="preserve"> NISRA, </w:t>
      </w:r>
      <w:hyperlink r:id="rId15" w:history="1">
        <w:r w:rsidRPr="000F54A5">
          <w:rPr>
            <w:rStyle w:val="Hyperlink"/>
          </w:rPr>
          <w:t>UK National Wellbeing Measures NI Data</w:t>
        </w:r>
      </w:hyperlink>
      <w:r>
        <w:t xml:space="preserve"> </w:t>
      </w:r>
    </w:p>
  </w:footnote>
  <w:footnote w:id="17">
    <w:p w14:paraId="7977E9CB" w14:textId="77777777" w:rsidR="00A36728" w:rsidRDefault="00A36728" w:rsidP="00A36728">
      <w:pPr>
        <w:pStyle w:val="FootnoteText"/>
      </w:pPr>
      <w:r>
        <w:rPr>
          <w:rStyle w:val="FootnoteReference"/>
        </w:rPr>
        <w:footnoteRef/>
      </w:r>
      <w:r>
        <w:t xml:space="preserve">  Department for Communities, </w:t>
      </w:r>
      <w:hyperlink r:id="rId16" w:history="1">
        <w:r w:rsidRPr="003C480F">
          <w:rPr>
            <w:rStyle w:val="Hyperlink"/>
          </w:rPr>
          <w:t>Disability within NI Labour Market 2022</w:t>
        </w:r>
      </w:hyperlink>
      <w:r>
        <w:t xml:space="preserve"> </w:t>
      </w:r>
    </w:p>
  </w:footnote>
  <w:footnote w:id="18">
    <w:p w14:paraId="35C8ECDC" w14:textId="77777777" w:rsidR="001357DA" w:rsidRDefault="001357DA" w:rsidP="001357DA">
      <w:pPr>
        <w:pStyle w:val="FootnoteText"/>
      </w:pPr>
      <w:r>
        <w:rPr>
          <w:rStyle w:val="FootnoteReference"/>
        </w:rPr>
        <w:footnoteRef/>
      </w:r>
      <w:r>
        <w:t xml:space="preserve"> </w:t>
      </w:r>
      <w:r w:rsidRPr="003C480F">
        <w:t xml:space="preserve">NISRA, </w:t>
      </w:r>
      <w:hyperlink r:id="rId17" w:history="1">
        <w:r w:rsidRPr="003C480F">
          <w:rPr>
            <w:rStyle w:val="Hyperlink"/>
          </w:rPr>
          <w:t>Women in NI 2020/21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F8602B"/>
    <w:multiLevelType w:val="hybridMultilevel"/>
    <w:tmpl w:val="4AA28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261ADD"/>
    <w:multiLevelType w:val="hybridMultilevel"/>
    <w:tmpl w:val="C54EFEDC"/>
    <w:lvl w:ilvl="0" w:tplc="F24016E6">
      <w:start w:val="1"/>
      <w:numFmt w:val="decimal"/>
      <w:lvlText w:val="%1."/>
      <w:lvlJc w:val="left"/>
      <w:pPr>
        <w:ind w:left="360" w:hanging="360"/>
      </w:pPr>
      <w:rPr>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9C60326"/>
    <w:multiLevelType w:val="hybridMultilevel"/>
    <w:tmpl w:val="F128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0519C"/>
    <w:multiLevelType w:val="hybridMultilevel"/>
    <w:tmpl w:val="26E0B9C6"/>
    <w:lvl w:ilvl="0" w:tplc="434AE42C">
      <w:numFmt w:val="bullet"/>
      <w:lvlText w:val="-"/>
      <w:lvlJc w:val="left"/>
      <w:pPr>
        <w:ind w:left="3532" w:hanging="360"/>
      </w:pPr>
      <w:rPr>
        <w:rFonts w:ascii="Arial" w:eastAsia="Times New Roman" w:hAnsi="Arial" w:cs="Arial" w:hint="default"/>
      </w:rPr>
    </w:lvl>
    <w:lvl w:ilvl="1" w:tplc="08090003" w:tentative="1">
      <w:start w:val="1"/>
      <w:numFmt w:val="bullet"/>
      <w:lvlText w:val="o"/>
      <w:lvlJc w:val="left"/>
      <w:pPr>
        <w:ind w:left="4252" w:hanging="360"/>
      </w:pPr>
      <w:rPr>
        <w:rFonts w:ascii="Courier New" w:hAnsi="Courier New" w:cs="Courier New" w:hint="default"/>
      </w:rPr>
    </w:lvl>
    <w:lvl w:ilvl="2" w:tplc="08090005" w:tentative="1">
      <w:start w:val="1"/>
      <w:numFmt w:val="bullet"/>
      <w:lvlText w:val=""/>
      <w:lvlJc w:val="left"/>
      <w:pPr>
        <w:ind w:left="4972" w:hanging="360"/>
      </w:pPr>
      <w:rPr>
        <w:rFonts w:ascii="Wingdings" w:hAnsi="Wingdings" w:hint="default"/>
      </w:rPr>
    </w:lvl>
    <w:lvl w:ilvl="3" w:tplc="08090001" w:tentative="1">
      <w:start w:val="1"/>
      <w:numFmt w:val="bullet"/>
      <w:lvlText w:val=""/>
      <w:lvlJc w:val="left"/>
      <w:pPr>
        <w:ind w:left="5692" w:hanging="360"/>
      </w:pPr>
      <w:rPr>
        <w:rFonts w:ascii="Symbol" w:hAnsi="Symbol" w:hint="default"/>
      </w:rPr>
    </w:lvl>
    <w:lvl w:ilvl="4" w:tplc="08090003" w:tentative="1">
      <w:start w:val="1"/>
      <w:numFmt w:val="bullet"/>
      <w:lvlText w:val="o"/>
      <w:lvlJc w:val="left"/>
      <w:pPr>
        <w:ind w:left="6412" w:hanging="360"/>
      </w:pPr>
      <w:rPr>
        <w:rFonts w:ascii="Courier New" w:hAnsi="Courier New" w:cs="Courier New" w:hint="default"/>
      </w:rPr>
    </w:lvl>
    <w:lvl w:ilvl="5" w:tplc="08090005" w:tentative="1">
      <w:start w:val="1"/>
      <w:numFmt w:val="bullet"/>
      <w:lvlText w:val=""/>
      <w:lvlJc w:val="left"/>
      <w:pPr>
        <w:ind w:left="7132" w:hanging="360"/>
      </w:pPr>
      <w:rPr>
        <w:rFonts w:ascii="Wingdings" w:hAnsi="Wingdings" w:hint="default"/>
      </w:rPr>
    </w:lvl>
    <w:lvl w:ilvl="6" w:tplc="08090001" w:tentative="1">
      <w:start w:val="1"/>
      <w:numFmt w:val="bullet"/>
      <w:lvlText w:val=""/>
      <w:lvlJc w:val="left"/>
      <w:pPr>
        <w:ind w:left="7852" w:hanging="360"/>
      </w:pPr>
      <w:rPr>
        <w:rFonts w:ascii="Symbol" w:hAnsi="Symbol" w:hint="default"/>
      </w:rPr>
    </w:lvl>
    <w:lvl w:ilvl="7" w:tplc="08090003" w:tentative="1">
      <w:start w:val="1"/>
      <w:numFmt w:val="bullet"/>
      <w:lvlText w:val="o"/>
      <w:lvlJc w:val="left"/>
      <w:pPr>
        <w:ind w:left="8572" w:hanging="360"/>
      </w:pPr>
      <w:rPr>
        <w:rFonts w:ascii="Courier New" w:hAnsi="Courier New" w:cs="Courier New" w:hint="default"/>
      </w:rPr>
    </w:lvl>
    <w:lvl w:ilvl="8" w:tplc="08090005" w:tentative="1">
      <w:start w:val="1"/>
      <w:numFmt w:val="bullet"/>
      <w:lvlText w:val=""/>
      <w:lvlJc w:val="left"/>
      <w:pPr>
        <w:ind w:left="9292" w:hanging="360"/>
      </w:pPr>
      <w:rPr>
        <w:rFonts w:ascii="Wingdings" w:hAnsi="Wingdings" w:hint="default"/>
      </w:rPr>
    </w:lvl>
  </w:abstractNum>
  <w:abstractNum w:abstractNumId="13"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7C576C"/>
    <w:multiLevelType w:val="hybridMultilevel"/>
    <w:tmpl w:val="70C83CD2"/>
    <w:lvl w:ilvl="0" w:tplc="0809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1" w15:restartNumberingAfterBreak="0">
    <w:nsid w:val="6D8129D0"/>
    <w:multiLevelType w:val="hybridMultilevel"/>
    <w:tmpl w:val="461CEC0E"/>
    <w:lvl w:ilvl="0" w:tplc="8E92DF4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2C368F"/>
    <w:multiLevelType w:val="hybridMultilevel"/>
    <w:tmpl w:val="F16AF5A2"/>
    <w:lvl w:ilvl="0" w:tplc="10FA9072">
      <w:start w:val="1"/>
      <w:numFmt w:val="decimal"/>
      <w:lvlText w:val="%1."/>
      <w:lvlJc w:val="left"/>
      <w:pPr>
        <w:ind w:left="502" w:hanging="360"/>
      </w:pPr>
      <w:rPr>
        <w:rFonts w:hint="default"/>
        <w:i w:val="0"/>
        <w:sz w:val="2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2007130447">
    <w:abstractNumId w:val="20"/>
  </w:num>
  <w:num w:numId="2" w16cid:durableId="1741559458">
    <w:abstractNumId w:val="22"/>
  </w:num>
  <w:num w:numId="3" w16cid:durableId="700739507">
    <w:abstractNumId w:val="17"/>
  </w:num>
  <w:num w:numId="4" w16cid:durableId="1823304503">
    <w:abstractNumId w:val="14"/>
  </w:num>
  <w:num w:numId="5" w16cid:durableId="552350303">
    <w:abstractNumId w:val="19"/>
  </w:num>
  <w:num w:numId="6" w16cid:durableId="835001632">
    <w:abstractNumId w:val="0"/>
  </w:num>
  <w:num w:numId="7" w16cid:durableId="458106126">
    <w:abstractNumId w:val="13"/>
  </w:num>
  <w:num w:numId="8" w16cid:durableId="1966353070">
    <w:abstractNumId w:val="11"/>
  </w:num>
  <w:num w:numId="9" w16cid:durableId="1454136041">
    <w:abstractNumId w:val="5"/>
  </w:num>
  <w:num w:numId="10" w16cid:durableId="5912213">
    <w:abstractNumId w:val="10"/>
  </w:num>
  <w:num w:numId="11" w16cid:durableId="1239943385">
    <w:abstractNumId w:val="15"/>
  </w:num>
  <w:num w:numId="12" w16cid:durableId="1769160500">
    <w:abstractNumId w:val="4"/>
  </w:num>
  <w:num w:numId="13" w16cid:durableId="543250889">
    <w:abstractNumId w:val="6"/>
  </w:num>
  <w:num w:numId="14" w16cid:durableId="327100046">
    <w:abstractNumId w:val="3"/>
  </w:num>
  <w:num w:numId="15" w16cid:durableId="285936790">
    <w:abstractNumId w:val="9"/>
  </w:num>
  <w:num w:numId="16" w16cid:durableId="1672487624">
    <w:abstractNumId w:val="16"/>
  </w:num>
  <w:num w:numId="17" w16cid:durableId="1703508682">
    <w:abstractNumId w:val="2"/>
  </w:num>
  <w:num w:numId="18" w16cid:durableId="258367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1390663">
    <w:abstractNumId w:val="23"/>
  </w:num>
  <w:num w:numId="20" w16cid:durableId="1877111073">
    <w:abstractNumId w:val="12"/>
  </w:num>
  <w:num w:numId="21" w16cid:durableId="1418820461">
    <w:abstractNumId w:val="1"/>
  </w:num>
  <w:num w:numId="22" w16cid:durableId="473520769">
    <w:abstractNumId w:val="18"/>
  </w:num>
  <w:num w:numId="23" w16cid:durableId="1904219257">
    <w:abstractNumId w:val="8"/>
  </w:num>
  <w:num w:numId="24" w16cid:durableId="15059778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03BDF"/>
    <w:rsid w:val="00007B96"/>
    <w:rsid w:val="00007C80"/>
    <w:rsid w:val="000208F8"/>
    <w:rsid w:val="00024DFC"/>
    <w:rsid w:val="0005595B"/>
    <w:rsid w:val="000800F9"/>
    <w:rsid w:val="000A0531"/>
    <w:rsid w:val="000A1318"/>
    <w:rsid w:val="000A472F"/>
    <w:rsid w:val="000A733B"/>
    <w:rsid w:val="000A779B"/>
    <w:rsid w:val="000B46A0"/>
    <w:rsid w:val="000D26EF"/>
    <w:rsid w:val="000D4116"/>
    <w:rsid w:val="000D75FC"/>
    <w:rsid w:val="000E24C5"/>
    <w:rsid w:val="000F1C38"/>
    <w:rsid w:val="00104D24"/>
    <w:rsid w:val="00106398"/>
    <w:rsid w:val="001129A0"/>
    <w:rsid w:val="001167B8"/>
    <w:rsid w:val="00116F96"/>
    <w:rsid w:val="00120233"/>
    <w:rsid w:val="001238AD"/>
    <w:rsid w:val="00127EA5"/>
    <w:rsid w:val="00127FCB"/>
    <w:rsid w:val="001324CB"/>
    <w:rsid w:val="001351C4"/>
    <w:rsid w:val="001357DA"/>
    <w:rsid w:val="00141303"/>
    <w:rsid w:val="00142190"/>
    <w:rsid w:val="00161DC9"/>
    <w:rsid w:val="0017123E"/>
    <w:rsid w:val="0017404D"/>
    <w:rsid w:val="00180296"/>
    <w:rsid w:val="001835A2"/>
    <w:rsid w:val="001842D5"/>
    <w:rsid w:val="0018541A"/>
    <w:rsid w:val="0019222A"/>
    <w:rsid w:val="00195C48"/>
    <w:rsid w:val="001A3183"/>
    <w:rsid w:val="001A42D6"/>
    <w:rsid w:val="001A5BB6"/>
    <w:rsid w:val="001C2ED3"/>
    <w:rsid w:val="001C37A9"/>
    <w:rsid w:val="001F4346"/>
    <w:rsid w:val="002052B7"/>
    <w:rsid w:val="00214D9C"/>
    <w:rsid w:val="0022227B"/>
    <w:rsid w:val="00234BE2"/>
    <w:rsid w:val="0023755C"/>
    <w:rsid w:val="00263134"/>
    <w:rsid w:val="0026592A"/>
    <w:rsid w:val="002A42CD"/>
    <w:rsid w:val="002A4BA8"/>
    <w:rsid w:val="002A551E"/>
    <w:rsid w:val="002A5ACC"/>
    <w:rsid w:val="002A69AD"/>
    <w:rsid w:val="002A748F"/>
    <w:rsid w:val="002B5CB3"/>
    <w:rsid w:val="002C22BB"/>
    <w:rsid w:val="002C45F8"/>
    <w:rsid w:val="002D2C5E"/>
    <w:rsid w:val="002E1017"/>
    <w:rsid w:val="002E6D9F"/>
    <w:rsid w:val="002F3D15"/>
    <w:rsid w:val="00337488"/>
    <w:rsid w:val="003456C1"/>
    <w:rsid w:val="003550F8"/>
    <w:rsid w:val="0036363C"/>
    <w:rsid w:val="003744C4"/>
    <w:rsid w:val="00377651"/>
    <w:rsid w:val="00390DDC"/>
    <w:rsid w:val="003A73AD"/>
    <w:rsid w:val="003B0CAA"/>
    <w:rsid w:val="003C0EAD"/>
    <w:rsid w:val="003C1CDC"/>
    <w:rsid w:val="003E5E97"/>
    <w:rsid w:val="003F73F0"/>
    <w:rsid w:val="004159C7"/>
    <w:rsid w:val="00426534"/>
    <w:rsid w:val="00443540"/>
    <w:rsid w:val="004515CC"/>
    <w:rsid w:val="00452EA3"/>
    <w:rsid w:val="00453279"/>
    <w:rsid w:val="0046476A"/>
    <w:rsid w:val="00465F1A"/>
    <w:rsid w:val="00467712"/>
    <w:rsid w:val="00497AF7"/>
    <w:rsid w:val="004B509B"/>
    <w:rsid w:val="004B7F75"/>
    <w:rsid w:val="004C4232"/>
    <w:rsid w:val="004D5EFD"/>
    <w:rsid w:val="004D6111"/>
    <w:rsid w:val="004E3127"/>
    <w:rsid w:val="004E5A10"/>
    <w:rsid w:val="004F158A"/>
    <w:rsid w:val="004F36D5"/>
    <w:rsid w:val="005006CF"/>
    <w:rsid w:val="005204E6"/>
    <w:rsid w:val="005277B3"/>
    <w:rsid w:val="00543342"/>
    <w:rsid w:val="005455C7"/>
    <w:rsid w:val="0057431D"/>
    <w:rsid w:val="005762B3"/>
    <w:rsid w:val="0058579E"/>
    <w:rsid w:val="00590C7F"/>
    <w:rsid w:val="00595062"/>
    <w:rsid w:val="005A105D"/>
    <w:rsid w:val="005B0505"/>
    <w:rsid w:val="005B0648"/>
    <w:rsid w:val="005D730E"/>
    <w:rsid w:val="005E2A99"/>
    <w:rsid w:val="005E4D57"/>
    <w:rsid w:val="00601743"/>
    <w:rsid w:val="0062156E"/>
    <w:rsid w:val="00642204"/>
    <w:rsid w:val="00651B3B"/>
    <w:rsid w:val="00660D1F"/>
    <w:rsid w:val="00672F38"/>
    <w:rsid w:val="00677060"/>
    <w:rsid w:val="0068301E"/>
    <w:rsid w:val="00691F6D"/>
    <w:rsid w:val="006A1D34"/>
    <w:rsid w:val="006A5D7D"/>
    <w:rsid w:val="006E3A10"/>
    <w:rsid w:val="006F3FED"/>
    <w:rsid w:val="006F51AE"/>
    <w:rsid w:val="00705E20"/>
    <w:rsid w:val="007067B2"/>
    <w:rsid w:val="007103CC"/>
    <w:rsid w:val="00720BBE"/>
    <w:rsid w:val="00721F8A"/>
    <w:rsid w:val="0072544B"/>
    <w:rsid w:val="007343CF"/>
    <w:rsid w:val="00751855"/>
    <w:rsid w:val="007569EB"/>
    <w:rsid w:val="0077006E"/>
    <w:rsid w:val="00776185"/>
    <w:rsid w:val="007777C2"/>
    <w:rsid w:val="00780B5B"/>
    <w:rsid w:val="0078408B"/>
    <w:rsid w:val="00784A8E"/>
    <w:rsid w:val="007878B4"/>
    <w:rsid w:val="00792F80"/>
    <w:rsid w:val="00793070"/>
    <w:rsid w:val="007937E8"/>
    <w:rsid w:val="00796BCA"/>
    <w:rsid w:val="007B0CF0"/>
    <w:rsid w:val="007D158E"/>
    <w:rsid w:val="007E1988"/>
    <w:rsid w:val="00804BDE"/>
    <w:rsid w:val="008067AA"/>
    <w:rsid w:val="0081629B"/>
    <w:rsid w:val="0081796F"/>
    <w:rsid w:val="008239F1"/>
    <w:rsid w:val="00824EEA"/>
    <w:rsid w:val="00825B9C"/>
    <w:rsid w:val="00834D9B"/>
    <w:rsid w:val="008367C3"/>
    <w:rsid w:val="008378E0"/>
    <w:rsid w:val="008519EB"/>
    <w:rsid w:val="00870403"/>
    <w:rsid w:val="0087101B"/>
    <w:rsid w:val="0087434D"/>
    <w:rsid w:val="008765CE"/>
    <w:rsid w:val="008779A1"/>
    <w:rsid w:val="00880D3F"/>
    <w:rsid w:val="008869F8"/>
    <w:rsid w:val="00887A1A"/>
    <w:rsid w:val="00890DE7"/>
    <w:rsid w:val="008928B7"/>
    <w:rsid w:val="0089572F"/>
    <w:rsid w:val="008B4757"/>
    <w:rsid w:val="008C48BD"/>
    <w:rsid w:val="008C555D"/>
    <w:rsid w:val="008C67A9"/>
    <w:rsid w:val="008C71A6"/>
    <w:rsid w:val="008D1DC0"/>
    <w:rsid w:val="008D3CF2"/>
    <w:rsid w:val="008D5B66"/>
    <w:rsid w:val="008E12A3"/>
    <w:rsid w:val="008E7B70"/>
    <w:rsid w:val="008F1A5B"/>
    <w:rsid w:val="008F69D2"/>
    <w:rsid w:val="009007A5"/>
    <w:rsid w:val="00901B93"/>
    <w:rsid w:val="00903758"/>
    <w:rsid w:val="00914131"/>
    <w:rsid w:val="009147C0"/>
    <w:rsid w:val="00914890"/>
    <w:rsid w:val="00924727"/>
    <w:rsid w:val="00941532"/>
    <w:rsid w:val="0094156C"/>
    <w:rsid w:val="009500B2"/>
    <w:rsid w:val="0095553E"/>
    <w:rsid w:val="0096413F"/>
    <w:rsid w:val="00986D30"/>
    <w:rsid w:val="009963DF"/>
    <w:rsid w:val="009A14AB"/>
    <w:rsid w:val="009A294B"/>
    <w:rsid w:val="009A779A"/>
    <w:rsid w:val="009B47FD"/>
    <w:rsid w:val="009B5371"/>
    <w:rsid w:val="009C1C25"/>
    <w:rsid w:val="009D33BE"/>
    <w:rsid w:val="009D4A36"/>
    <w:rsid w:val="009D617C"/>
    <w:rsid w:val="009E3682"/>
    <w:rsid w:val="009F023B"/>
    <w:rsid w:val="009F536B"/>
    <w:rsid w:val="009F7527"/>
    <w:rsid w:val="009F7C26"/>
    <w:rsid w:val="00A00CD7"/>
    <w:rsid w:val="00A158D1"/>
    <w:rsid w:val="00A26B5A"/>
    <w:rsid w:val="00A26D17"/>
    <w:rsid w:val="00A311A0"/>
    <w:rsid w:val="00A312FB"/>
    <w:rsid w:val="00A32FF1"/>
    <w:rsid w:val="00A35F76"/>
    <w:rsid w:val="00A36728"/>
    <w:rsid w:val="00A3712A"/>
    <w:rsid w:val="00A378D8"/>
    <w:rsid w:val="00A448DE"/>
    <w:rsid w:val="00A665B3"/>
    <w:rsid w:val="00A705F9"/>
    <w:rsid w:val="00A81BB5"/>
    <w:rsid w:val="00A83AAA"/>
    <w:rsid w:val="00A8737A"/>
    <w:rsid w:val="00A92E26"/>
    <w:rsid w:val="00A96589"/>
    <w:rsid w:val="00AA53AB"/>
    <w:rsid w:val="00AB43AD"/>
    <w:rsid w:val="00AE6766"/>
    <w:rsid w:val="00AF7BBD"/>
    <w:rsid w:val="00B04968"/>
    <w:rsid w:val="00B06DB3"/>
    <w:rsid w:val="00B1472D"/>
    <w:rsid w:val="00B148DA"/>
    <w:rsid w:val="00B24574"/>
    <w:rsid w:val="00B27E09"/>
    <w:rsid w:val="00B373D3"/>
    <w:rsid w:val="00B406DA"/>
    <w:rsid w:val="00B4131E"/>
    <w:rsid w:val="00B56B93"/>
    <w:rsid w:val="00B57D18"/>
    <w:rsid w:val="00B66AA5"/>
    <w:rsid w:val="00B77B8D"/>
    <w:rsid w:val="00B82F88"/>
    <w:rsid w:val="00B83DFF"/>
    <w:rsid w:val="00B92E4E"/>
    <w:rsid w:val="00B93E79"/>
    <w:rsid w:val="00BA3E06"/>
    <w:rsid w:val="00BA6268"/>
    <w:rsid w:val="00BB0620"/>
    <w:rsid w:val="00BC3184"/>
    <w:rsid w:val="00BD2AEC"/>
    <w:rsid w:val="00BE6C0F"/>
    <w:rsid w:val="00BF36C1"/>
    <w:rsid w:val="00BF79F8"/>
    <w:rsid w:val="00C0511A"/>
    <w:rsid w:val="00C10D71"/>
    <w:rsid w:val="00C21A24"/>
    <w:rsid w:val="00C2631D"/>
    <w:rsid w:val="00C27F67"/>
    <w:rsid w:val="00C3003A"/>
    <w:rsid w:val="00C63ED7"/>
    <w:rsid w:val="00C73906"/>
    <w:rsid w:val="00C77D0E"/>
    <w:rsid w:val="00C81F6B"/>
    <w:rsid w:val="00C82DA4"/>
    <w:rsid w:val="00CA53A3"/>
    <w:rsid w:val="00CA7316"/>
    <w:rsid w:val="00CB07E1"/>
    <w:rsid w:val="00CB647A"/>
    <w:rsid w:val="00CE19B2"/>
    <w:rsid w:val="00CF0B02"/>
    <w:rsid w:val="00D00F46"/>
    <w:rsid w:val="00D170CA"/>
    <w:rsid w:val="00D25A10"/>
    <w:rsid w:val="00D26DA2"/>
    <w:rsid w:val="00D31316"/>
    <w:rsid w:val="00D3274E"/>
    <w:rsid w:val="00D32856"/>
    <w:rsid w:val="00D43889"/>
    <w:rsid w:val="00D4612A"/>
    <w:rsid w:val="00D47B3D"/>
    <w:rsid w:val="00D5093C"/>
    <w:rsid w:val="00D54AC0"/>
    <w:rsid w:val="00D56AA4"/>
    <w:rsid w:val="00D6128C"/>
    <w:rsid w:val="00D62F1C"/>
    <w:rsid w:val="00D648BD"/>
    <w:rsid w:val="00DB44E4"/>
    <w:rsid w:val="00DB5619"/>
    <w:rsid w:val="00DC081A"/>
    <w:rsid w:val="00DD1C3B"/>
    <w:rsid w:val="00DD62F3"/>
    <w:rsid w:val="00DE009D"/>
    <w:rsid w:val="00E1543D"/>
    <w:rsid w:val="00E15A18"/>
    <w:rsid w:val="00E17E34"/>
    <w:rsid w:val="00E42C80"/>
    <w:rsid w:val="00E43D7A"/>
    <w:rsid w:val="00E442B5"/>
    <w:rsid w:val="00E46589"/>
    <w:rsid w:val="00E513EE"/>
    <w:rsid w:val="00E516EB"/>
    <w:rsid w:val="00E62217"/>
    <w:rsid w:val="00E6269C"/>
    <w:rsid w:val="00E729C6"/>
    <w:rsid w:val="00E837A5"/>
    <w:rsid w:val="00E91D60"/>
    <w:rsid w:val="00EA172D"/>
    <w:rsid w:val="00EA4088"/>
    <w:rsid w:val="00EC7C22"/>
    <w:rsid w:val="00ED3448"/>
    <w:rsid w:val="00EE2CB6"/>
    <w:rsid w:val="00EE361C"/>
    <w:rsid w:val="00EF094E"/>
    <w:rsid w:val="00EF54E7"/>
    <w:rsid w:val="00F02D1F"/>
    <w:rsid w:val="00F061AD"/>
    <w:rsid w:val="00F129EF"/>
    <w:rsid w:val="00F341F7"/>
    <w:rsid w:val="00F41683"/>
    <w:rsid w:val="00F516F9"/>
    <w:rsid w:val="00F83EF9"/>
    <w:rsid w:val="00F84EB0"/>
    <w:rsid w:val="00F922C9"/>
    <w:rsid w:val="00F9355E"/>
    <w:rsid w:val="00F9397B"/>
    <w:rsid w:val="00FA2356"/>
    <w:rsid w:val="00FA2A4A"/>
    <w:rsid w:val="00FA68A2"/>
    <w:rsid w:val="00FD3162"/>
    <w:rsid w:val="00FD52DC"/>
    <w:rsid w:val="00FF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1BBCBF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12"/>
    <w:rPr>
      <w:rFonts w:ascii="Arial" w:hAnsi="Arial"/>
      <w:sz w:val="24"/>
      <w:lang w:eastAsia="en-US"/>
    </w:rPr>
  </w:style>
  <w:style w:type="paragraph" w:styleId="Heading1">
    <w:name w:val="heading 1"/>
    <w:basedOn w:val="Normal"/>
    <w:next w:val="Normal"/>
    <w:link w:val="Heading1Char"/>
    <w:uiPriority w:val="9"/>
    <w:qFormat/>
    <w:rsid w:val="00A35F76"/>
    <w:pPr>
      <w:keepNext/>
      <w:keepLines/>
      <w:spacing w:before="240"/>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uiPriority w:val="9"/>
    <w:qFormat/>
    <w:rsid w:val="00C27F67"/>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qFormat/>
    <w:rsid w:val="00C27F67"/>
    <w:pPr>
      <w:keepNext/>
      <w:keepLines/>
      <w:spacing w:before="40"/>
      <w:outlineLvl w:val="2"/>
    </w:pPr>
    <w:rPr>
      <w:rFonts w:eastAsiaTheme="majorEastAsia" w:cstheme="majorBidi"/>
      <w:b/>
      <w:color w:val="2F5496" w:themeColor="accent1" w:themeShade="BF"/>
      <w:sz w:val="28"/>
      <w:szCs w:val="24"/>
    </w:rPr>
  </w:style>
  <w:style w:type="paragraph" w:styleId="Heading4">
    <w:name w:val="heading 4"/>
    <w:basedOn w:val="Normal"/>
    <w:next w:val="Normal"/>
    <w:link w:val="Heading4Char"/>
    <w:uiPriority w:val="9"/>
    <w:qFormat/>
    <w:rsid w:val="006A5D7D"/>
    <w:pPr>
      <w:keepNext/>
      <w:keepLines/>
      <w:spacing w:before="40"/>
      <w:outlineLvl w:val="3"/>
    </w:pPr>
    <w:rPr>
      <w:rFonts w:eastAsiaTheme="majorEastAsia" w:cstheme="majorBidi"/>
      <w:b/>
      <w:iCs/>
      <w:sz w:val="28"/>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List Paragraph1,Dot pt,No Spacing1,List Paragraph Char Char Char,Indicator Text,Numbered Para 1,Bullet Points,MAIN CONTENT,OBC Bullet,List Paragraph11,List Paragraph12,F5 List Paragraph,Colorful List - Accent 11,Normal numbered,Bullet 1,3"/>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A35F76"/>
    <w:rPr>
      <w:rFonts w:ascii="Arial" w:eastAsiaTheme="majorEastAsia" w:hAnsi="Arial" w:cstheme="majorBidi"/>
      <w:color w:val="2F5496" w:themeColor="accent1" w:themeShade="BF"/>
      <w:sz w:val="28"/>
      <w:szCs w:val="32"/>
      <w:lang w:eastAsia="en-US"/>
    </w:rPr>
  </w:style>
  <w:style w:type="character" w:customStyle="1" w:styleId="Heading2Char">
    <w:name w:val="Heading 2 Char"/>
    <w:basedOn w:val="DefaultParagraphFont"/>
    <w:link w:val="Heading2"/>
    <w:uiPriority w:val="9"/>
    <w:rsid w:val="00C27F67"/>
    <w:rPr>
      <w:rFonts w:ascii="Arial" w:eastAsiaTheme="majorEastAsia" w:hAnsi="Arial" w:cstheme="majorBidi"/>
      <w:color w:val="2F5496" w:themeColor="accent1" w:themeShade="BF"/>
      <w:sz w:val="28"/>
      <w:szCs w:val="26"/>
      <w:lang w:eastAsia="en-US"/>
    </w:rPr>
  </w:style>
  <w:style w:type="character" w:customStyle="1" w:styleId="Heading3Char">
    <w:name w:val="Heading 3 Char"/>
    <w:basedOn w:val="DefaultParagraphFont"/>
    <w:link w:val="Heading3"/>
    <w:uiPriority w:val="9"/>
    <w:rsid w:val="00C27F67"/>
    <w:rPr>
      <w:rFonts w:ascii="Arial" w:eastAsiaTheme="majorEastAsia" w:hAnsi="Arial" w:cstheme="majorBidi"/>
      <w:b/>
      <w:color w:val="2F5496" w:themeColor="accent1" w:themeShade="BF"/>
      <w:sz w:val="28"/>
      <w:szCs w:val="24"/>
      <w:lang w:eastAsia="en-US"/>
    </w:rPr>
  </w:style>
  <w:style w:type="character" w:customStyle="1" w:styleId="Heading4Char">
    <w:name w:val="Heading 4 Char"/>
    <w:basedOn w:val="DefaultParagraphFont"/>
    <w:link w:val="Heading4"/>
    <w:uiPriority w:val="9"/>
    <w:rsid w:val="006A5D7D"/>
    <w:rPr>
      <w:rFonts w:ascii="Arial" w:eastAsiaTheme="majorEastAsia" w:hAnsi="Arial" w:cstheme="majorBidi"/>
      <w:b/>
      <w:iCs/>
      <w:sz w:val="28"/>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unhideWhenUsed/>
    <w:rsid w:val="008D5B66"/>
    <w:pPr>
      <w:tabs>
        <w:tab w:val="center" w:pos="4513"/>
        <w:tab w:val="right" w:pos="9026"/>
      </w:tabs>
    </w:pPr>
  </w:style>
  <w:style w:type="character" w:customStyle="1" w:styleId="HeaderChar">
    <w:name w:val="Header Char"/>
    <w:basedOn w:val="DefaultParagraphFont"/>
    <w:link w:val="Header"/>
    <w:uiPriority w:val="99"/>
    <w:rsid w:val="008D5B66"/>
    <w:rPr>
      <w:rFonts w:ascii="Arial" w:hAnsi="Arial"/>
      <w:sz w:val="24"/>
      <w:lang w:eastAsia="en-US"/>
    </w:rPr>
  </w:style>
  <w:style w:type="character" w:customStyle="1" w:styleId="FooterChar">
    <w:name w:val="Footer Char"/>
    <w:basedOn w:val="DefaultParagraphFont"/>
    <w:link w:val="Footer"/>
    <w:uiPriority w:val="99"/>
    <w:rsid w:val="008D5B66"/>
    <w:rPr>
      <w:rFonts w:ascii="Arial" w:hAnsi="Arial"/>
      <w:sz w:val="24"/>
      <w:lang w:eastAsia="en-US"/>
    </w:rPr>
  </w:style>
  <w:style w:type="paragraph" w:styleId="EndnoteText">
    <w:name w:val="endnote text"/>
    <w:basedOn w:val="Normal"/>
    <w:link w:val="EndnoteTextChar"/>
    <w:uiPriority w:val="99"/>
    <w:semiHidden/>
    <w:unhideWhenUsed/>
    <w:rsid w:val="008D5B66"/>
    <w:rPr>
      <w:sz w:val="20"/>
    </w:rPr>
  </w:style>
  <w:style w:type="character" w:customStyle="1" w:styleId="EndnoteTextChar">
    <w:name w:val="Endnote Text Char"/>
    <w:basedOn w:val="DefaultParagraphFont"/>
    <w:link w:val="EndnoteText"/>
    <w:uiPriority w:val="99"/>
    <w:semiHidden/>
    <w:rsid w:val="008D5B66"/>
    <w:rPr>
      <w:rFonts w:ascii="Arial" w:hAnsi="Arial"/>
      <w:lang w:eastAsia="en-US"/>
    </w:rPr>
  </w:style>
  <w:style w:type="character" w:styleId="EndnoteReference">
    <w:name w:val="endnote reference"/>
    <w:basedOn w:val="DefaultParagraphFont"/>
    <w:uiPriority w:val="99"/>
    <w:semiHidden/>
    <w:unhideWhenUsed/>
    <w:rsid w:val="008D5B66"/>
    <w:rPr>
      <w:vertAlign w:val="superscript"/>
    </w:rPr>
  </w:style>
  <w:style w:type="paragraph" w:styleId="FootnoteText">
    <w:name w:val="footnote text"/>
    <w:basedOn w:val="Normal"/>
    <w:link w:val="FootnoteTextChar"/>
    <w:uiPriority w:val="99"/>
    <w:semiHidden/>
    <w:unhideWhenUsed/>
    <w:rsid w:val="008D5B66"/>
    <w:rPr>
      <w:sz w:val="20"/>
    </w:rPr>
  </w:style>
  <w:style w:type="character" w:customStyle="1" w:styleId="FootnoteTextChar">
    <w:name w:val="Footnote Text Char"/>
    <w:basedOn w:val="DefaultParagraphFont"/>
    <w:link w:val="FootnoteText"/>
    <w:uiPriority w:val="99"/>
    <w:semiHidden/>
    <w:rsid w:val="008D5B66"/>
    <w:rPr>
      <w:rFonts w:ascii="Arial" w:hAnsi="Arial"/>
      <w:lang w:eastAsia="en-US"/>
    </w:rPr>
  </w:style>
  <w:style w:type="character" w:styleId="FootnoteReference">
    <w:name w:val="footnote reference"/>
    <w:basedOn w:val="DefaultParagraphFont"/>
    <w:uiPriority w:val="99"/>
    <w:semiHidden/>
    <w:unhideWhenUsed/>
    <w:rsid w:val="008D5B66"/>
    <w:rPr>
      <w:vertAlign w:val="superscript"/>
    </w:rPr>
  </w:style>
  <w:style w:type="paragraph" w:styleId="Title">
    <w:name w:val="Title"/>
    <w:basedOn w:val="Normal"/>
    <w:next w:val="Normal"/>
    <w:link w:val="TitleChar"/>
    <w:uiPriority w:val="10"/>
    <w:qFormat/>
    <w:rsid w:val="004E5A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A10"/>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uiPriority w:val="99"/>
    <w:semiHidden/>
    <w:unhideWhenUsed/>
    <w:rsid w:val="00E46589"/>
    <w:rPr>
      <w:sz w:val="16"/>
      <w:szCs w:val="16"/>
    </w:rPr>
  </w:style>
  <w:style w:type="paragraph" w:styleId="CommentText">
    <w:name w:val="annotation text"/>
    <w:basedOn w:val="Normal"/>
    <w:link w:val="CommentTextChar"/>
    <w:uiPriority w:val="99"/>
    <w:unhideWhenUsed/>
    <w:rsid w:val="00E46589"/>
    <w:rPr>
      <w:sz w:val="20"/>
    </w:rPr>
  </w:style>
  <w:style w:type="character" w:customStyle="1" w:styleId="CommentTextChar">
    <w:name w:val="Comment Text Char"/>
    <w:basedOn w:val="DefaultParagraphFont"/>
    <w:link w:val="CommentText"/>
    <w:uiPriority w:val="99"/>
    <w:rsid w:val="00E4658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46589"/>
    <w:rPr>
      <w:b/>
      <w:bCs/>
    </w:rPr>
  </w:style>
  <w:style w:type="character" w:customStyle="1" w:styleId="CommentSubjectChar">
    <w:name w:val="Comment Subject Char"/>
    <w:basedOn w:val="CommentTextChar"/>
    <w:link w:val="CommentSubject"/>
    <w:uiPriority w:val="99"/>
    <w:semiHidden/>
    <w:rsid w:val="00E46589"/>
    <w:rPr>
      <w:rFonts w:ascii="Arial" w:hAnsi="Arial"/>
      <w:b/>
      <w:bCs/>
      <w:lang w:eastAsia="en-US"/>
    </w:rPr>
  </w:style>
  <w:style w:type="character" w:customStyle="1" w:styleId="ListParagraphChar">
    <w:name w:val="List Paragraph Char"/>
    <w:aliases w:val="List Paragraph1 Char,Dot pt Char,No Spacing1 Char,List Paragraph Char Char Char Char,Indicator Text Char,Numbered Para 1 Char,Bullet Points Char,MAIN CONTENT Char,OBC Bullet Char,List Paragraph11 Char,List Paragraph12 Char,3 Char"/>
    <w:link w:val="ListParagraph"/>
    <w:uiPriority w:val="34"/>
    <w:qFormat/>
    <w:locked/>
    <w:rsid w:val="00E15A18"/>
    <w:rPr>
      <w:rFonts w:ascii="Arial" w:hAnsi="Arial"/>
      <w:sz w:val="24"/>
      <w:lang w:eastAsia="en-US"/>
    </w:rPr>
  </w:style>
  <w:style w:type="table" w:styleId="TableGridLight">
    <w:name w:val="Grid Table Light"/>
    <w:basedOn w:val="TableNormal"/>
    <w:uiPriority w:val="40"/>
    <w:rsid w:val="009E36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80B5B"/>
    <w:rPr>
      <w:color w:val="605E5C"/>
      <w:shd w:val="clear" w:color="auto" w:fill="E1DFDD"/>
    </w:rPr>
  </w:style>
  <w:style w:type="paragraph" w:styleId="Revision">
    <w:name w:val="Revision"/>
    <w:hidden/>
    <w:uiPriority w:val="99"/>
    <w:semiHidden/>
    <w:rsid w:val="00234BE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71328">
      <w:bodyDiv w:val="1"/>
      <w:marLeft w:val="0"/>
      <w:marRight w:val="0"/>
      <w:marTop w:val="0"/>
      <w:marBottom w:val="0"/>
      <w:divBdr>
        <w:top w:val="none" w:sz="0" w:space="0" w:color="auto"/>
        <w:left w:val="none" w:sz="0" w:space="0" w:color="auto"/>
        <w:bottom w:val="none" w:sz="0" w:space="0" w:color="auto"/>
        <w:right w:val="none" w:sz="0" w:space="0" w:color="auto"/>
      </w:divBdr>
    </w:div>
    <w:div w:id="1339313821">
      <w:bodyDiv w:val="1"/>
      <w:marLeft w:val="0"/>
      <w:marRight w:val="0"/>
      <w:marTop w:val="0"/>
      <w:marBottom w:val="0"/>
      <w:divBdr>
        <w:top w:val="none" w:sz="0" w:space="0" w:color="auto"/>
        <w:left w:val="none" w:sz="0" w:space="0" w:color="auto"/>
        <w:bottom w:val="none" w:sz="0" w:space="0" w:color="auto"/>
        <w:right w:val="none" w:sz="0" w:space="0" w:color="auto"/>
      </w:divBdr>
    </w:div>
    <w:div w:id="1726291549">
      <w:bodyDiv w:val="1"/>
      <w:marLeft w:val="0"/>
      <w:marRight w:val="0"/>
      <w:marTop w:val="0"/>
      <w:marBottom w:val="0"/>
      <w:divBdr>
        <w:top w:val="none" w:sz="0" w:space="0" w:color="auto"/>
        <w:left w:val="none" w:sz="0" w:space="0" w:color="auto"/>
        <w:bottom w:val="none" w:sz="0" w:space="0" w:color="auto"/>
        <w:right w:val="none" w:sz="0" w:space="0" w:color="auto"/>
      </w:divBdr>
    </w:div>
    <w:div w:id="1885870187">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Public%20Authorities/S75DataSignpostingGuid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nomy-ni.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publications/census-2021-main-statistics-sexual-orientation-tables" TargetMode="External"/><Relationship Id="rId13" Type="http://schemas.openxmlformats.org/officeDocument/2006/relationships/hyperlink" Target="https://www.nisra.gov.uk/publications/women-in-northern-ireland-2020-2021" TargetMode="External"/><Relationship Id="rId3" Type="http://schemas.openxmlformats.org/officeDocument/2006/relationships/hyperlink" Target="https://www.equalityni.org/ECNI/media/ECNI/Publications/Delivering%20Equality/FETO%20Monitoring%20Reports/No32/MonReport32.pdf" TargetMode="External"/><Relationship Id="rId7" Type="http://schemas.openxmlformats.org/officeDocument/2006/relationships/hyperlink" Target="https://www.nisra.gov.uk/publications/census-2021-main-statistics-demography-tables-household-relationships" TargetMode="External"/><Relationship Id="rId12" Type="http://schemas.openxmlformats.org/officeDocument/2006/relationships/hyperlink" Target="https://www.nisra.gov.uk/publications/labour-market-report-december-2023" TargetMode="External"/><Relationship Id="rId17" Type="http://schemas.openxmlformats.org/officeDocument/2006/relationships/hyperlink" Target="https://www.nisra.gov.uk/publications/women-in-northern-ireland-2020-2021" TargetMode="External"/><Relationship Id="rId2" Type="http://schemas.openxmlformats.org/officeDocument/2006/relationships/hyperlink" Target="https://www.nisra.gov.uk/statistics/2021-census/results/main-statistics" TargetMode="External"/><Relationship Id="rId16" Type="http://schemas.openxmlformats.org/officeDocument/2006/relationships/hyperlink" Target="https://www.communities-ni.gov.uk/sites/default/files/publications/communities/dfc-disability-within-northern-ireland-labour-market-2022.pdf" TargetMode="External"/><Relationship Id="rId1" Type="http://schemas.openxmlformats.org/officeDocument/2006/relationships/hyperlink" Target="https://www.legislation.gov.uk/nisi/1988/1087/article/3?view=extent" TargetMode="External"/><Relationship Id="rId6" Type="http://schemas.openxmlformats.org/officeDocument/2006/relationships/hyperlink" Target="https://www.nisra.gov.uk/publications/census-2021-main-statistics-demography-tables-age-and-sex" TargetMode="External"/><Relationship Id="rId11" Type="http://schemas.openxmlformats.org/officeDocument/2006/relationships/hyperlink" Target="https://www.equalityni.org/ECNI/media/ECNI/Publications/Delivering%20Equality/FETO%20Monitoring%20Reports/No32/MonReport32.pdf" TargetMode="External"/><Relationship Id="rId5" Type="http://schemas.openxmlformats.org/officeDocument/2006/relationships/hyperlink" Target="https://www.nisra.gov.uk/publications/census-2021-main-statistics-ethnicity-tables" TargetMode="External"/><Relationship Id="rId15" Type="http://schemas.openxmlformats.org/officeDocument/2006/relationships/hyperlink" Target="https://www.nisra.gov.uk/statistics/uk-national-wellbeing-measures-northern-ireland-data/health" TargetMode="External"/><Relationship Id="rId10" Type="http://schemas.openxmlformats.org/officeDocument/2006/relationships/hyperlink" Target="https://www.nisra.gov.uk/statistics/2021-census/results/main-statistics" TargetMode="External"/><Relationship Id="rId4" Type="http://schemas.openxmlformats.org/officeDocument/2006/relationships/hyperlink" Target="https://www.ark.ac.uk/nilt/2022/Political_Attitudes/UNINATID.html" TargetMode="External"/><Relationship Id="rId9" Type="http://schemas.openxmlformats.org/officeDocument/2006/relationships/hyperlink" Target="https://www.nisra.gov.uk/system/files/statistics/census-2021-main-statistics-for-northern-ireland-phase-3-statistical-bulletin-sexual-orientation.pdf" TargetMode="External"/><Relationship Id="rId14" Type="http://schemas.openxmlformats.org/officeDocument/2006/relationships/hyperlink" Target="https://www.nisra.gov.uk/publications/labour-market-report-decemb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de79c5-5b6e-4b21-9165-c5556b9396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DD3F8101DE0D46AB4210E4B1987B99" ma:contentTypeVersion="11" ma:contentTypeDescription="Create a new document." ma:contentTypeScope="" ma:versionID="f2e3e68975cf815479b7a6e7981bcc0b">
  <xsd:schema xmlns:xsd="http://www.w3.org/2001/XMLSchema" xmlns:xs="http://www.w3.org/2001/XMLSchema" xmlns:p="http://schemas.microsoft.com/office/2006/metadata/properties" xmlns:ns3="b7de79c5-5b6e-4b21-9165-c5556b939601" xmlns:ns4="f701f341-9b63-4fce-bb1f-03ea46df5593" targetNamespace="http://schemas.microsoft.com/office/2006/metadata/properties" ma:root="true" ma:fieldsID="212b4183fb00d43d93325e9b7fe6f8cc" ns3:_="" ns4:_="">
    <xsd:import namespace="b7de79c5-5b6e-4b21-9165-c5556b939601"/>
    <xsd:import namespace="f701f341-9b63-4fce-bb1f-03ea46df5593"/>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e79c5-5b6e-4b21-9165-c5556b93960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01f341-9b63-4fce-bb1f-03ea46df5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EF7AF-8738-47BF-8582-C81887EA0ADB}">
  <ds:schemaRefs>
    <ds:schemaRef ds:uri="http://schemas.microsoft.com/office/2006/metadata/properties"/>
    <ds:schemaRef ds:uri="http://schemas.microsoft.com/office/infopath/2007/PartnerControls"/>
    <ds:schemaRef ds:uri="b7de79c5-5b6e-4b21-9165-c5556b939601"/>
  </ds:schemaRefs>
</ds:datastoreItem>
</file>

<file path=customXml/itemProps2.xml><?xml version="1.0" encoding="utf-8"?>
<ds:datastoreItem xmlns:ds="http://schemas.openxmlformats.org/officeDocument/2006/customXml" ds:itemID="{4A789B33-22B5-49BD-822A-464C94611610}">
  <ds:schemaRefs>
    <ds:schemaRef ds:uri="http://schemas.openxmlformats.org/officeDocument/2006/bibliography"/>
  </ds:schemaRefs>
</ds:datastoreItem>
</file>

<file path=customXml/itemProps3.xml><?xml version="1.0" encoding="utf-8"?>
<ds:datastoreItem xmlns:ds="http://schemas.openxmlformats.org/officeDocument/2006/customXml" ds:itemID="{825B86C7-4989-4FF5-8E3E-445F33EAF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e79c5-5b6e-4b21-9165-c5556b939601"/>
    <ds:schemaRef ds:uri="f701f341-9b63-4fce-bb1f-03ea46df5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B6CB1-AF28-4DFE-BF57-6385643D0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28139</CharactersWithSpaces>
  <SharedDoc>false</SharedDoc>
  <HLinks>
    <vt:vector size="84" baseType="variant">
      <vt:variant>
        <vt:i4>2424938</vt:i4>
      </vt:variant>
      <vt:variant>
        <vt:i4>0</vt:i4>
      </vt:variant>
      <vt:variant>
        <vt:i4>0</vt:i4>
      </vt:variant>
      <vt:variant>
        <vt:i4>5</vt:i4>
      </vt:variant>
      <vt:variant>
        <vt:lpwstr>https://www.equalityni.org/ECNI/media/ECNI/Publications/Employers and Service Providers/Public Authorities/S75DataSignpostingGuide.pdf</vt:lpwstr>
      </vt:variant>
      <vt:variant>
        <vt:lpwstr/>
      </vt:variant>
      <vt:variant>
        <vt:i4>5898321</vt:i4>
      </vt:variant>
      <vt:variant>
        <vt:i4>36</vt:i4>
      </vt:variant>
      <vt:variant>
        <vt:i4>0</vt:i4>
      </vt:variant>
      <vt:variant>
        <vt:i4>5</vt:i4>
      </vt:variant>
      <vt:variant>
        <vt:lpwstr>https://www.nisra.gov.uk/publications/women-in-northern-ireland-2020-2021</vt:lpwstr>
      </vt:variant>
      <vt:variant>
        <vt:lpwstr/>
      </vt:variant>
      <vt:variant>
        <vt:i4>393290</vt:i4>
      </vt:variant>
      <vt:variant>
        <vt:i4>33</vt:i4>
      </vt:variant>
      <vt:variant>
        <vt:i4>0</vt:i4>
      </vt:variant>
      <vt:variant>
        <vt:i4>5</vt:i4>
      </vt:variant>
      <vt:variant>
        <vt:lpwstr>https://www.communities-ni.gov.uk/sites/default/files/publications/communities/dfc-disability-within-northern-ireland-labour-market-2022.pdf</vt:lpwstr>
      </vt:variant>
      <vt:variant>
        <vt:lpwstr/>
      </vt:variant>
      <vt:variant>
        <vt:i4>7667749</vt:i4>
      </vt:variant>
      <vt:variant>
        <vt:i4>30</vt:i4>
      </vt:variant>
      <vt:variant>
        <vt:i4>0</vt:i4>
      </vt:variant>
      <vt:variant>
        <vt:i4>5</vt:i4>
      </vt:variant>
      <vt:variant>
        <vt:lpwstr>https://www.nisra.gov.uk/statistics/uk-national-wellbeing-measures-northern-ireland-data/health</vt:lpwstr>
      </vt:variant>
      <vt:variant>
        <vt:lpwstr/>
      </vt:variant>
      <vt:variant>
        <vt:i4>1114112</vt:i4>
      </vt:variant>
      <vt:variant>
        <vt:i4>27</vt:i4>
      </vt:variant>
      <vt:variant>
        <vt:i4>0</vt:i4>
      </vt:variant>
      <vt:variant>
        <vt:i4>5</vt:i4>
      </vt:variant>
      <vt:variant>
        <vt:lpwstr>https://www.nisra.gov.uk/publications/labour-market-report-december-2023</vt:lpwstr>
      </vt:variant>
      <vt:variant>
        <vt:lpwstr/>
      </vt:variant>
      <vt:variant>
        <vt:i4>5898321</vt:i4>
      </vt:variant>
      <vt:variant>
        <vt:i4>24</vt:i4>
      </vt:variant>
      <vt:variant>
        <vt:i4>0</vt:i4>
      </vt:variant>
      <vt:variant>
        <vt:i4>5</vt:i4>
      </vt:variant>
      <vt:variant>
        <vt:lpwstr>https://www.nisra.gov.uk/publications/women-in-northern-ireland-2020-2021</vt:lpwstr>
      </vt:variant>
      <vt:variant>
        <vt:lpwstr/>
      </vt:variant>
      <vt:variant>
        <vt:i4>1114112</vt:i4>
      </vt:variant>
      <vt:variant>
        <vt:i4>21</vt:i4>
      </vt:variant>
      <vt:variant>
        <vt:i4>0</vt:i4>
      </vt:variant>
      <vt:variant>
        <vt:i4>5</vt:i4>
      </vt:variant>
      <vt:variant>
        <vt:lpwstr>https://www.nisra.gov.uk/publications/labour-market-report-december-2023</vt:lpwstr>
      </vt:variant>
      <vt:variant>
        <vt:lpwstr/>
      </vt:variant>
      <vt:variant>
        <vt:i4>4325377</vt:i4>
      </vt:variant>
      <vt:variant>
        <vt:i4>18</vt:i4>
      </vt:variant>
      <vt:variant>
        <vt:i4>0</vt:i4>
      </vt:variant>
      <vt:variant>
        <vt:i4>5</vt:i4>
      </vt:variant>
      <vt:variant>
        <vt:lpwstr>https://www.equalityni.org/ECNI/media/ECNI/Publications/Delivering Equality/FETO Monitoring Reports/No32/MonReport32.pdf</vt:lpwstr>
      </vt:variant>
      <vt:variant>
        <vt:lpwstr/>
      </vt:variant>
      <vt:variant>
        <vt:i4>6946939</vt:i4>
      </vt:variant>
      <vt:variant>
        <vt:i4>15</vt:i4>
      </vt:variant>
      <vt:variant>
        <vt:i4>0</vt:i4>
      </vt:variant>
      <vt:variant>
        <vt:i4>5</vt:i4>
      </vt:variant>
      <vt:variant>
        <vt:lpwstr>https://www.nisra.gov.uk/statistics/2021-census/results/main-statistics</vt:lpwstr>
      </vt:variant>
      <vt:variant>
        <vt:lpwstr/>
      </vt:variant>
      <vt:variant>
        <vt:i4>6422638</vt:i4>
      </vt:variant>
      <vt:variant>
        <vt:i4>12</vt:i4>
      </vt:variant>
      <vt:variant>
        <vt:i4>0</vt:i4>
      </vt:variant>
      <vt:variant>
        <vt:i4>5</vt:i4>
      </vt:variant>
      <vt:variant>
        <vt:lpwstr>https://www.nisra.gov.uk/publications/census-2021-main-statistics-sexual-orientation-tables</vt:lpwstr>
      </vt:variant>
      <vt:variant>
        <vt:lpwstr/>
      </vt:variant>
      <vt:variant>
        <vt:i4>6422569</vt:i4>
      </vt:variant>
      <vt:variant>
        <vt:i4>9</vt:i4>
      </vt:variant>
      <vt:variant>
        <vt:i4>0</vt:i4>
      </vt:variant>
      <vt:variant>
        <vt:i4>5</vt:i4>
      </vt:variant>
      <vt:variant>
        <vt:lpwstr>https://www.nisra.gov.uk/publications/census-2021-main-statistics-demography-tables-household-relationships</vt:lpwstr>
      </vt:variant>
      <vt:variant>
        <vt:lpwstr/>
      </vt:variant>
      <vt:variant>
        <vt:i4>7929886</vt:i4>
      </vt:variant>
      <vt:variant>
        <vt:i4>6</vt:i4>
      </vt:variant>
      <vt:variant>
        <vt:i4>0</vt:i4>
      </vt:variant>
      <vt:variant>
        <vt:i4>5</vt:i4>
      </vt:variant>
      <vt:variant>
        <vt:lpwstr>https://www.ark.ac.uk/nilt/2022/Political_Attitudes/UNINATID.html</vt:lpwstr>
      </vt:variant>
      <vt:variant>
        <vt:lpwstr/>
      </vt:variant>
      <vt:variant>
        <vt:i4>4325377</vt:i4>
      </vt:variant>
      <vt:variant>
        <vt:i4>3</vt:i4>
      </vt:variant>
      <vt:variant>
        <vt:i4>0</vt:i4>
      </vt:variant>
      <vt:variant>
        <vt:i4>5</vt:i4>
      </vt:variant>
      <vt:variant>
        <vt:lpwstr>https://www.equalityni.org/ECNI/media/ECNI/Publications/Delivering Equality/FETO Monitoring Reports/No32/MonReport32.pdf</vt:lpwstr>
      </vt:variant>
      <vt:variant>
        <vt:lpwstr/>
      </vt:variant>
      <vt:variant>
        <vt:i4>6946939</vt:i4>
      </vt:variant>
      <vt:variant>
        <vt:i4>0</vt:i4>
      </vt:variant>
      <vt:variant>
        <vt:i4>0</vt:i4>
      </vt:variant>
      <vt:variant>
        <vt:i4>5</vt:i4>
      </vt:variant>
      <vt:variant>
        <vt:lpwstr>https://www.nisra.gov.uk/statistics/2021-census/results/main-statistics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Gibson, David (DfE)</cp:lastModifiedBy>
  <cp:revision>6</cp:revision>
  <cp:lastPrinted>2024-03-08T11:11:00Z</cp:lastPrinted>
  <dcterms:created xsi:type="dcterms:W3CDTF">2024-05-30T08:31:00Z</dcterms:created>
  <dcterms:modified xsi:type="dcterms:W3CDTF">2024-06-04T14:57:00Z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0x01010027DD3F8101DE0D46AB4210E4B1987B99</vt:lpwstr>
  </property>
</Properties>
</file>