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7D2F1" w14:textId="6EBFC570" w:rsidR="000B74FF" w:rsidRDefault="00000000">
      <w:pPr>
        <w:pStyle w:val="Heading1"/>
        <w:spacing w:before="68"/>
      </w:pPr>
      <w:r>
        <w:t>Privacy Notice –</w:t>
      </w:r>
      <w:r w:rsidR="00B813AF">
        <w:t xml:space="preserve"> DfC </w:t>
      </w:r>
      <w:r w:rsidR="009601E2" w:rsidRPr="009601E2">
        <w:t>Employment &amp; Skills Initiative (ESI)</w:t>
      </w:r>
      <w:r w:rsidR="00B813AF">
        <w:t xml:space="preserve"> Survey</w:t>
      </w:r>
    </w:p>
    <w:p w14:paraId="14945E78" w14:textId="77777777" w:rsidR="000B74FF" w:rsidRDefault="000B74FF">
      <w:pPr>
        <w:pStyle w:val="BodyText"/>
        <w:spacing w:before="7"/>
        <w:rPr>
          <w:b/>
          <w:sz w:val="38"/>
        </w:rPr>
      </w:pPr>
    </w:p>
    <w:p w14:paraId="1AF8CFD4" w14:textId="320E35DC" w:rsidR="000B74FF" w:rsidRDefault="00000000">
      <w:pPr>
        <w:pStyle w:val="BodyText"/>
        <w:spacing w:before="1"/>
        <w:ind w:left="101"/>
      </w:pPr>
      <w:r>
        <w:t xml:space="preserve">Data Controller Name: </w:t>
      </w:r>
      <w:r w:rsidR="008F260C" w:rsidRPr="008F260C">
        <w:t xml:space="preserve">Analytics Division </w:t>
      </w:r>
      <w:r>
        <w:t>Department for Communities (DfC))</w:t>
      </w:r>
    </w:p>
    <w:p w14:paraId="63AF2DA9" w14:textId="070C74C2" w:rsidR="000B74FF" w:rsidRDefault="00000000" w:rsidP="008F260C">
      <w:pPr>
        <w:pStyle w:val="BodyText"/>
        <w:spacing w:before="28" w:line="264" w:lineRule="auto"/>
        <w:ind w:left="101" w:right="1445"/>
      </w:pPr>
      <w:r>
        <w:t>Address: Causeway Exchange, 1-7 Bedford Street, BELFAST, BT2 7EG Email:</w:t>
      </w:r>
      <w:r w:rsidR="008F260C">
        <w:t xml:space="preserve"> </w:t>
      </w:r>
      <w:hyperlink r:id="rId5" w:history="1">
        <w:r w:rsidR="008F260C" w:rsidRPr="00AA7898">
          <w:rPr>
            <w:rStyle w:val="Hyperlink"/>
          </w:rPr>
          <w:t>analyticsdivision@communities-ni.gov.uk</w:t>
        </w:r>
      </w:hyperlink>
      <w:r w:rsidR="008F260C">
        <w:t xml:space="preserve"> </w:t>
      </w:r>
      <w:r w:rsidR="008F260C">
        <w:br/>
      </w:r>
      <w:r>
        <w:t xml:space="preserve">Telephone: 02890 </w:t>
      </w:r>
      <w:r w:rsidR="008F260C">
        <w:t>515424</w:t>
      </w:r>
    </w:p>
    <w:p w14:paraId="527786C2" w14:textId="77777777" w:rsidR="000B74FF" w:rsidRDefault="000B74FF">
      <w:pPr>
        <w:pStyle w:val="BodyText"/>
        <w:spacing w:before="10"/>
        <w:rPr>
          <w:sz w:val="28"/>
        </w:rPr>
      </w:pPr>
    </w:p>
    <w:p w14:paraId="4E799C90" w14:textId="2F1A46BE" w:rsidR="000B74FF" w:rsidRDefault="00000000">
      <w:pPr>
        <w:pStyle w:val="BodyText"/>
        <w:spacing w:before="1" w:line="249" w:lineRule="auto"/>
        <w:ind w:left="101" w:right="4127"/>
      </w:pPr>
      <w:r>
        <w:t xml:space="preserve">Data Protection Officer Name: Karen McMullan </w:t>
      </w:r>
    </w:p>
    <w:p w14:paraId="3478494E" w14:textId="0F0F402D" w:rsidR="008F260C" w:rsidRDefault="00000000" w:rsidP="008F260C">
      <w:pPr>
        <w:pStyle w:val="BodyText"/>
        <w:spacing w:before="1" w:line="249" w:lineRule="auto"/>
        <w:ind w:left="101" w:right="4127"/>
      </w:pPr>
      <w:r>
        <w:t xml:space="preserve">Email: </w:t>
      </w:r>
      <w:hyperlink r:id="rId6">
        <w:r w:rsidR="000B74FF">
          <w:rPr>
            <w:color w:val="0462C1"/>
            <w:u w:val="single" w:color="0462C1"/>
          </w:rPr>
          <w:t>DPO@Communities-ni.gov.uk</w:t>
        </w:r>
      </w:hyperlink>
      <w:r w:rsidR="008F260C">
        <w:br/>
        <w:t>Telephone: 02890 829200</w:t>
      </w:r>
    </w:p>
    <w:p w14:paraId="5DEBEC31" w14:textId="77777777" w:rsidR="000B74FF" w:rsidRDefault="000B74FF">
      <w:pPr>
        <w:pStyle w:val="BodyText"/>
        <w:spacing w:before="4"/>
        <w:rPr>
          <w:sz w:val="15"/>
        </w:rPr>
      </w:pPr>
    </w:p>
    <w:p w14:paraId="3ED0ED44" w14:textId="1A1C1FA2" w:rsidR="000B74FF" w:rsidRDefault="00000000">
      <w:pPr>
        <w:pStyle w:val="BodyText"/>
        <w:spacing w:before="92"/>
        <w:ind w:left="101" w:right="252"/>
      </w:pPr>
      <w:r>
        <w:rPr>
          <w:spacing w:val="-4"/>
        </w:rPr>
        <w:t xml:space="preserve">Being </w:t>
      </w:r>
      <w:r>
        <w:rPr>
          <w:spacing w:val="-5"/>
        </w:rPr>
        <w:t xml:space="preserve">transparent </w:t>
      </w:r>
      <w:r>
        <w:rPr>
          <w:spacing w:val="-4"/>
        </w:rPr>
        <w:t xml:space="preserve">and providing accessible </w:t>
      </w:r>
      <w:r>
        <w:t xml:space="preserve">information to </w:t>
      </w:r>
      <w:r>
        <w:rPr>
          <w:spacing w:val="-5"/>
        </w:rPr>
        <w:t xml:space="preserve">individuals about </w:t>
      </w:r>
      <w:r>
        <w:rPr>
          <w:spacing w:val="-4"/>
        </w:rPr>
        <w:t xml:space="preserve">how </w:t>
      </w:r>
      <w:r>
        <w:t xml:space="preserve">we may </w:t>
      </w:r>
      <w:r>
        <w:rPr>
          <w:spacing w:val="-5"/>
        </w:rPr>
        <w:t xml:space="preserve">use personal </w:t>
      </w:r>
      <w:r>
        <w:rPr>
          <w:spacing w:val="-4"/>
        </w:rPr>
        <w:t xml:space="preserve">data </w:t>
      </w:r>
      <w:r>
        <w:rPr>
          <w:spacing w:val="-3"/>
        </w:rPr>
        <w:t xml:space="preserve">is </w:t>
      </w:r>
      <w:r>
        <w:t xml:space="preserve">a key </w:t>
      </w:r>
      <w:r>
        <w:rPr>
          <w:spacing w:val="-4"/>
        </w:rPr>
        <w:t xml:space="preserve">element </w:t>
      </w:r>
      <w:r>
        <w:rPr>
          <w:spacing w:val="-3"/>
        </w:rPr>
        <w:t xml:space="preserve">of the </w:t>
      </w:r>
      <w:hyperlink r:id="rId7">
        <w:r w:rsidR="000B74FF">
          <w:rPr>
            <w:color w:val="0462C1"/>
            <w:u w:val="single" w:color="0462C1"/>
          </w:rPr>
          <w:t xml:space="preserve">Data </w:t>
        </w:r>
        <w:r w:rsidR="000B74FF">
          <w:rPr>
            <w:color w:val="0462C1"/>
            <w:spacing w:val="-3"/>
            <w:u w:val="single" w:color="0462C1"/>
          </w:rPr>
          <w:t xml:space="preserve">Protection </w:t>
        </w:r>
        <w:r w:rsidR="000B74FF">
          <w:rPr>
            <w:color w:val="0462C1"/>
            <w:spacing w:val="2"/>
            <w:u w:val="single" w:color="0462C1"/>
          </w:rPr>
          <w:t xml:space="preserve">Act </w:t>
        </w:r>
        <w:r w:rsidR="000B74FF">
          <w:rPr>
            <w:color w:val="0462C1"/>
            <w:u w:val="single" w:color="0462C1"/>
          </w:rPr>
          <w:t>(DPA)</w:t>
        </w:r>
        <w:r w:rsidR="000B74FF">
          <w:rPr>
            <w:color w:val="0462C1"/>
          </w:rPr>
          <w:t xml:space="preserve"> </w:t>
        </w:r>
      </w:hyperlink>
      <w:r>
        <w:rPr>
          <w:spacing w:val="-4"/>
        </w:rPr>
        <w:t xml:space="preserve">and </w:t>
      </w:r>
      <w:r>
        <w:rPr>
          <w:spacing w:val="-3"/>
        </w:rPr>
        <w:t xml:space="preserve">the </w:t>
      </w:r>
      <w:hyperlink r:id="rId8" w:history="1">
        <w:r w:rsidR="003804B7" w:rsidRPr="003804B7">
          <w:rPr>
            <w:rStyle w:val="Hyperlink"/>
            <w:spacing w:val="-3"/>
          </w:rPr>
          <w:t xml:space="preserve">UK </w:t>
        </w:r>
        <w:r w:rsidR="000B74FF" w:rsidRPr="003804B7">
          <w:rPr>
            <w:rStyle w:val="Hyperlink"/>
            <w:spacing w:val="-3"/>
          </w:rPr>
          <w:t>General Data Protection  R</w:t>
        </w:r>
        <w:r w:rsidR="000B74FF" w:rsidRPr="003804B7">
          <w:rPr>
            <w:rStyle w:val="Hyperlink"/>
            <w:spacing w:val="-3"/>
          </w:rPr>
          <w:t>e</w:t>
        </w:r>
        <w:r w:rsidR="000B74FF" w:rsidRPr="003804B7">
          <w:rPr>
            <w:rStyle w:val="Hyperlink"/>
            <w:spacing w:val="-3"/>
          </w:rPr>
          <w:t>gulation</w:t>
        </w:r>
        <w:r w:rsidRPr="003804B7">
          <w:rPr>
            <w:rStyle w:val="Hyperlink"/>
            <w:spacing w:val="-5"/>
          </w:rPr>
          <w:t xml:space="preserve"> </w:t>
        </w:r>
        <w:r w:rsidRPr="003804B7">
          <w:rPr>
            <w:rStyle w:val="Hyperlink"/>
          </w:rPr>
          <w:t>(</w:t>
        </w:r>
        <w:r w:rsidR="003804B7" w:rsidRPr="003804B7">
          <w:rPr>
            <w:rStyle w:val="Hyperlink"/>
          </w:rPr>
          <w:t xml:space="preserve">UK </w:t>
        </w:r>
        <w:r w:rsidRPr="003804B7">
          <w:rPr>
            <w:rStyle w:val="Hyperlink"/>
          </w:rPr>
          <w:t>GDPR)</w:t>
        </w:r>
      </w:hyperlink>
      <w:r>
        <w:t xml:space="preserve">.  </w:t>
      </w:r>
      <w:r>
        <w:rPr>
          <w:spacing w:val="-3"/>
        </w:rPr>
        <w:t xml:space="preserve">The Department </w:t>
      </w:r>
      <w:r>
        <w:t xml:space="preserve">for Communities </w:t>
      </w:r>
      <w:r>
        <w:rPr>
          <w:spacing w:val="3"/>
        </w:rPr>
        <w:t xml:space="preserve">(DfC) </w:t>
      </w:r>
      <w:r>
        <w:rPr>
          <w:spacing w:val="-3"/>
        </w:rPr>
        <w:t xml:space="preserve">is </w:t>
      </w:r>
      <w:r>
        <w:t xml:space="preserve">committed to </w:t>
      </w:r>
      <w:r>
        <w:rPr>
          <w:spacing w:val="-6"/>
        </w:rPr>
        <w:t xml:space="preserve">building </w:t>
      </w:r>
      <w:r>
        <w:rPr>
          <w:spacing w:val="-4"/>
        </w:rPr>
        <w:t xml:space="preserve">trust and </w:t>
      </w:r>
      <w:r>
        <w:t xml:space="preserve">confidence </w:t>
      </w:r>
      <w:r>
        <w:rPr>
          <w:spacing w:val="-3"/>
        </w:rPr>
        <w:t xml:space="preserve">in </w:t>
      </w:r>
      <w:r>
        <w:rPr>
          <w:spacing w:val="-4"/>
        </w:rPr>
        <w:t xml:space="preserve">our </w:t>
      </w:r>
      <w:r>
        <w:rPr>
          <w:spacing w:val="-5"/>
        </w:rPr>
        <w:t xml:space="preserve">ability </w:t>
      </w:r>
      <w:r>
        <w:t xml:space="preserve">to </w:t>
      </w:r>
      <w:r>
        <w:rPr>
          <w:spacing w:val="-3"/>
        </w:rPr>
        <w:t xml:space="preserve">process </w:t>
      </w:r>
      <w:r>
        <w:t xml:space="preserve">your </w:t>
      </w:r>
      <w:r>
        <w:rPr>
          <w:spacing w:val="-5"/>
        </w:rPr>
        <w:t xml:space="preserve">personal </w:t>
      </w:r>
      <w:r>
        <w:t xml:space="preserve">information </w:t>
      </w:r>
      <w:r>
        <w:rPr>
          <w:spacing w:val="-4"/>
        </w:rPr>
        <w:t xml:space="preserve">and </w:t>
      </w:r>
      <w:r>
        <w:t>protect your</w:t>
      </w:r>
      <w:r>
        <w:rPr>
          <w:spacing w:val="20"/>
        </w:rPr>
        <w:t xml:space="preserve"> </w:t>
      </w:r>
      <w:r>
        <w:t>privacy.</w:t>
      </w:r>
    </w:p>
    <w:p w14:paraId="702B1EE5" w14:textId="77777777" w:rsidR="000B74FF" w:rsidRDefault="000B74FF">
      <w:pPr>
        <w:pStyle w:val="BodyText"/>
        <w:rPr>
          <w:sz w:val="26"/>
        </w:rPr>
      </w:pPr>
    </w:p>
    <w:p w14:paraId="414D2530" w14:textId="77777777" w:rsidR="000B74FF" w:rsidRDefault="000B74FF">
      <w:pPr>
        <w:pStyle w:val="BodyText"/>
        <w:spacing w:before="1"/>
        <w:rPr>
          <w:sz w:val="21"/>
        </w:rPr>
      </w:pPr>
    </w:p>
    <w:p w14:paraId="47986ECA" w14:textId="23658EFA" w:rsidR="000B74FF" w:rsidRDefault="00000000">
      <w:pPr>
        <w:pStyle w:val="Heading1"/>
      </w:pPr>
      <w:r>
        <w:t xml:space="preserve">Purpose for processing </w:t>
      </w:r>
      <w:r w:rsidR="009601E2" w:rsidRPr="009601E2">
        <w:t>Employment &amp; Skills Initiative (ESI)</w:t>
      </w:r>
    </w:p>
    <w:p w14:paraId="3DDF18BE" w14:textId="77777777" w:rsidR="000B74FF" w:rsidRDefault="000B74FF">
      <w:pPr>
        <w:pStyle w:val="BodyText"/>
        <w:spacing w:before="9"/>
        <w:rPr>
          <w:b/>
        </w:rPr>
      </w:pPr>
    </w:p>
    <w:p w14:paraId="32C5174D" w14:textId="41C2D7C3" w:rsidR="000B74FF" w:rsidRDefault="00000000">
      <w:pPr>
        <w:pStyle w:val="BodyText"/>
        <w:ind w:left="101" w:right="252"/>
      </w:pPr>
      <w:r>
        <w:t xml:space="preserve">We </w:t>
      </w:r>
      <w:r>
        <w:rPr>
          <w:spacing w:val="-3"/>
        </w:rPr>
        <w:t xml:space="preserve">will process </w:t>
      </w:r>
      <w:r>
        <w:rPr>
          <w:spacing w:val="-5"/>
        </w:rPr>
        <w:t xml:space="preserve">personal </w:t>
      </w:r>
      <w:r>
        <w:rPr>
          <w:spacing w:val="-4"/>
        </w:rPr>
        <w:t xml:space="preserve">data </w:t>
      </w:r>
      <w:r w:rsidR="009601E2">
        <w:rPr>
          <w:spacing w:val="-3"/>
        </w:rPr>
        <w:t>provided in</w:t>
      </w:r>
      <w:r>
        <w:rPr>
          <w:spacing w:val="-3"/>
        </w:rPr>
        <w:t xml:space="preserve"> </w:t>
      </w:r>
      <w:r w:rsidR="009601E2">
        <w:rPr>
          <w:spacing w:val="-3"/>
        </w:rPr>
        <w:t>t</w:t>
      </w:r>
      <w:r>
        <w:rPr>
          <w:spacing w:val="-3"/>
        </w:rPr>
        <w:t xml:space="preserve">he </w:t>
      </w:r>
      <w:r w:rsidR="009601E2" w:rsidRPr="009601E2">
        <w:rPr>
          <w:spacing w:val="-3"/>
        </w:rPr>
        <w:t>Employment &amp; Skills Initiative (ESI)</w:t>
      </w:r>
      <w:r w:rsidR="009601E2">
        <w:rPr>
          <w:spacing w:val="-3"/>
        </w:rPr>
        <w:t xml:space="preserve"> survey </w:t>
      </w:r>
      <w:r>
        <w:t xml:space="preserve">for </w:t>
      </w:r>
      <w:r>
        <w:rPr>
          <w:spacing w:val="-3"/>
        </w:rPr>
        <w:t xml:space="preserve">the </w:t>
      </w:r>
      <w:r>
        <w:rPr>
          <w:spacing w:val="-5"/>
        </w:rPr>
        <w:t xml:space="preserve">purpose </w:t>
      </w:r>
      <w:r>
        <w:rPr>
          <w:spacing w:val="-3"/>
        </w:rPr>
        <w:t xml:space="preserve">of </w:t>
      </w:r>
      <w:r>
        <w:t xml:space="preserve">informing </w:t>
      </w:r>
      <w:r>
        <w:rPr>
          <w:spacing w:val="-3"/>
        </w:rPr>
        <w:t xml:space="preserve">the development of </w:t>
      </w:r>
      <w:r>
        <w:rPr>
          <w:spacing w:val="-4"/>
        </w:rPr>
        <w:t xml:space="preserve">our </w:t>
      </w:r>
      <w:r>
        <w:t xml:space="preserve">policy, </w:t>
      </w:r>
      <w:r>
        <w:rPr>
          <w:spacing w:val="-4"/>
        </w:rPr>
        <w:t xml:space="preserve">guidance, </w:t>
      </w:r>
      <w:r>
        <w:rPr>
          <w:spacing w:val="-3"/>
        </w:rPr>
        <w:t xml:space="preserve">or </w:t>
      </w:r>
      <w:r>
        <w:rPr>
          <w:spacing w:val="-5"/>
        </w:rPr>
        <w:t xml:space="preserve">other </w:t>
      </w:r>
      <w:r>
        <w:rPr>
          <w:spacing w:val="-4"/>
        </w:rPr>
        <w:t xml:space="preserve">regulatory </w:t>
      </w:r>
      <w:r>
        <w:t xml:space="preserve">work </w:t>
      </w:r>
      <w:r>
        <w:rPr>
          <w:spacing w:val="-3"/>
        </w:rPr>
        <w:t xml:space="preserve">in the </w:t>
      </w:r>
      <w:r>
        <w:rPr>
          <w:spacing w:val="-4"/>
        </w:rPr>
        <w:t xml:space="preserve">subject </w:t>
      </w:r>
      <w:r>
        <w:rPr>
          <w:spacing w:val="-3"/>
        </w:rPr>
        <w:t xml:space="preserve">area of </w:t>
      </w:r>
      <w:r w:rsidR="009601E2">
        <w:rPr>
          <w:spacing w:val="-3"/>
        </w:rPr>
        <w:t>ESI</w:t>
      </w:r>
      <w:r>
        <w:t xml:space="preserve">.  We </w:t>
      </w:r>
      <w:r>
        <w:rPr>
          <w:spacing w:val="-3"/>
        </w:rPr>
        <w:t xml:space="preserve">will </w:t>
      </w:r>
      <w:r>
        <w:rPr>
          <w:spacing w:val="-6"/>
        </w:rPr>
        <w:t xml:space="preserve">publish </w:t>
      </w:r>
      <w:r>
        <w:t xml:space="preserve">a summary </w:t>
      </w:r>
      <w:r>
        <w:rPr>
          <w:spacing w:val="-3"/>
        </w:rPr>
        <w:t xml:space="preserve">of the </w:t>
      </w:r>
      <w:r>
        <w:rPr>
          <w:spacing w:val="-5"/>
        </w:rPr>
        <w:t xml:space="preserve">questionnaire </w:t>
      </w:r>
      <w:r w:rsidR="009601E2">
        <w:rPr>
          <w:spacing w:val="-6"/>
        </w:rPr>
        <w:t>responses,</w:t>
      </w:r>
      <w:r>
        <w:rPr>
          <w:spacing w:val="-6"/>
        </w:rPr>
        <w:t xml:space="preserve"> </w:t>
      </w:r>
      <w:r>
        <w:rPr>
          <w:spacing w:val="-4"/>
        </w:rPr>
        <w:t xml:space="preserve">but </w:t>
      </w:r>
      <w:r>
        <w:rPr>
          <w:spacing w:val="-5"/>
        </w:rPr>
        <w:t xml:space="preserve">these </w:t>
      </w:r>
      <w:r>
        <w:rPr>
          <w:spacing w:val="-3"/>
        </w:rPr>
        <w:t xml:space="preserve">will </w:t>
      </w:r>
      <w:r>
        <w:rPr>
          <w:spacing w:val="-4"/>
        </w:rPr>
        <w:t xml:space="preserve">not </w:t>
      </w:r>
      <w:r>
        <w:rPr>
          <w:spacing w:val="-3"/>
        </w:rPr>
        <w:t xml:space="preserve">contain </w:t>
      </w:r>
      <w:r>
        <w:rPr>
          <w:spacing w:val="-4"/>
        </w:rPr>
        <w:t xml:space="preserve">any </w:t>
      </w:r>
      <w:r>
        <w:rPr>
          <w:spacing w:val="-5"/>
        </w:rPr>
        <w:t xml:space="preserve">personal data. </w:t>
      </w:r>
      <w:r>
        <w:t xml:space="preserve">We </w:t>
      </w:r>
      <w:r>
        <w:rPr>
          <w:spacing w:val="-3"/>
        </w:rPr>
        <w:t xml:space="preserve">will </w:t>
      </w:r>
      <w:r>
        <w:rPr>
          <w:spacing w:val="-4"/>
        </w:rPr>
        <w:t xml:space="preserve">not </w:t>
      </w:r>
      <w:r>
        <w:rPr>
          <w:spacing w:val="-6"/>
        </w:rPr>
        <w:t xml:space="preserve">publish </w:t>
      </w:r>
      <w:r>
        <w:rPr>
          <w:spacing w:val="-3"/>
        </w:rPr>
        <w:t xml:space="preserve">the </w:t>
      </w:r>
      <w:r>
        <w:t xml:space="preserve">names </w:t>
      </w:r>
      <w:r>
        <w:rPr>
          <w:spacing w:val="-3"/>
        </w:rPr>
        <w:t xml:space="preserve">or </w:t>
      </w:r>
      <w:r>
        <w:t xml:space="preserve">contact </w:t>
      </w:r>
      <w:r>
        <w:rPr>
          <w:spacing w:val="-5"/>
        </w:rPr>
        <w:t xml:space="preserve">details </w:t>
      </w:r>
      <w:r>
        <w:rPr>
          <w:spacing w:val="-3"/>
        </w:rPr>
        <w:t xml:space="preserve">of </w:t>
      </w:r>
      <w:r>
        <w:rPr>
          <w:spacing w:val="-6"/>
        </w:rPr>
        <w:t xml:space="preserve">respondents, </w:t>
      </w:r>
      <w:r>
        <w:rPr>
          <w:spacing w:val="-4"/>
        </w:rPr>
        <w:t xml:space="preserve">including </w:t>
      </w:r>
      <w:r>
        <w:rPr>
          <w:spacing w:val="-3"/>
        </w:rPr>
        <w:t xml:space="preserve">the </w:t>
      </w:r>
      <w:r>
        <w:t xml:space="preserve">names </w:t>
      </w:r>
      <w:r>
        <w:rPr>
          <w:spacing w:val="-3"/>
        </w:rPr>
        <w:t xml:space="preserve">of </w:t>
      </w:r>
      <w:r>
        <w:rPr>
          <w:spacing w:val="-5"/>
        </w:rPr>
        <w:t>organisations</w:t>
      </w:r>
      <w:r>
        <w:rPr>
          <w:spacing w:val="-2"/>
        </w:rPr>
        <w:t xml:space="preserve"> </w:t>
      </w:r>
      <w:r>
        <w:rPr>
          <w:spacing w:val="-6"/>
        </w:rPr>
        <w:t>responding.</w:t>
      </w:r>
    </w:p>
    <w:p w14:paraId="28FCBF61" w14:textId="77777777" w:rsidR="000B74FF" w:rsidRDefault="000B74FF">
      <w:pPr>
        <w:pStyle w:val="BodyText"/>
        <w:spacing w:before="4"/>
        <w:rPr>
          <w:sz w:val="22"/>
        </w:rPr>
      </w:pPr>
    </w:p>
    <w:p w14:paraId="0346B213" w14:textId="77777777" w:rsidR="000B74FF" w:rsidRDefault="00000000">
      <w:pPr>
        <w:pStyle w:val="Heading1"/>
      </w:pPr>
      <w:r>
        <w:t>Lawful basis for processing</w:t>
      </w:r>
    </w:p>
    <w:p w14:paraId="4A2A4178" w14:textId="77777777" w:rsidR="000B74FF" w:rsidRDefault="000B74FF">
      <w:pPr>
        <w:pStyle w:val="BodyText"/>
        <w:spacing w:before="4"/>
        <w:rPr>
          <w:b/>
          <w:sz w:val="23"/>
        </w:rPr>
      </w:pPr>
    </w:p>
    <w:p w14:paraId="521E65C5" w14:textId="178FCB84" w:rsidR="000B74FF" w:rsidRDefault="00000000">
      <w:pPr>
        <w:pStyle w:val="BodyText"/>
        <w:ind w:left="101" w:right="228"/>
        <w:jc w:val="both"/>
      </w:pPr>
      <w:r>
        <w:t xml:space="preserve">The lawful basis we are relying on to process your personal data is Article 6(1)(e) of the </w:t>
      </w:r>
      <w:r w:rsidR="003804B7">
        <w:t xml:space="preserve">UK </w:t>
      </w:r>
      <w:r>
        <w:t>GDPR, which allows us to process personal data when this is necessary for the performance of our public tasks in our capacity as a Government Department and in this regard, to gather information on a Debt Respite policy and prospective Northern Ireland scheme.</w:t>
      </w:r>
    </w:p>
    <w:p w14:paraId="73332ADA" w14:textId="77777777" w:rsidR="000B74FF" w:rsidRDefault="000B74FF">
      <w:pPr>
        <w:pStyle w:val="BodyText"/>
        <w:rPr>
          <w:sz w:val="26"/>
        </w:rPr>
      </w:pPr>
    </w:p>
    <w:p w14:paraId="0CFFE9CE" w14:textId="77777777" w:rsidR="000B74FF" w:rsidRDefault="000B74FF">
      <w:pPr>
        <w:pStyle w:val="BodyText"/>
        <w:spacing w:before="5"/>
        <w:rPr>
          <w:sz w:val="22"/>
        </w:rPr>
      </w:pPr>
    </w:p>
    <w:p w14:paraId="50B93A02" w14:textId="77777777" w:rsidR="000B74FF" w:rsidRDefault="00000000">
      <w:pPr>
        <w:pStyle w:val="Heading1"/>
        <w:spacing w:before="1"/>
      </w:pPr>
      <w:r>
        <w:t>How will your information be used and shared</w:t>
      </w:r>
    </w:p>
    <w:p w14:paraId="6CF34514" w14:textId="77777777" w:rsidR="000B74FF" w:rsidRDefault="000B74FF">
      <w:pPr>
        <w:pStyle w:val="BodyText"/>
        <w:spacing w:before="10"/>
        <w:rPr>
          <w:b/>
        </w:rPr>
      </w:pPr>
    </w:p>
    <w:p w14:paraId="4BADEEC0" w14:textId="1C2D39BF" w:rsidR="000B74FF" w:rsidRDefault="00000000">
      <w:pPr>
        <w:pStyle w:val="BodyText"/>
        <w:spacing w:line="237" w:lineRule="auto"/>
        <w:ind w:left="101"/>
      </w:pPr>
      <w:r>
        <w:t>We will only use your information for the purposes of analysis, and reporting of questionnaire responses</w:t>
      </w:r>
      <w:r w:rsidR="009601E2">
        <w:t>.</w:t>
      </w:r>
    </w:p>
    <w:p w14:paraId="6AAD1789" w14:textId="77777777" w:rsidR="000B74FF" w:rsidRDefault="000B74FF">
      <w:pPr>
        <w:spacing w:line="237" w:lineRule="auto"/>
        <w:sectPr w:rsidR="000B74FF">
          <w:type w:val="continuous"/>
          <w:pgSz w:w="11910" w:h="16840"/>
          <w:pgMar w:top="1360" w:right="1320" w:bottom="280" w:left="1340" w:header="720" w:footer="720" w:gutter="0"/>
          <w:cols w:space="720"/>
        </w:sectPr>
      </w:pPr>
    </w:p>
    <w:p w14:paraId="0D6CD02B" w14:textId="697F7097" w:rsidR="000B74FF" w:rsidRDefault="00000000">
      <w:pPr>
        <w:pStyle w:val="BodyText"/>
        <w:spacing w:before="68"/>
        <w:ind w:left="101" w:right="252"/>
      </w:pPr>
      <w:r>
        <w:lastRenderedPageBreak/>
        <w:t xml:space="preserve">We </w:t>
      </w:r>
      <w:r>
        <w:rPr>
          <w:spacing w:val="-3"/>
        </w:rPr>
        <w:t xml:space="preserve">process the </w:t>
      </w:r>
      <w:r>
        <w:t xml:space="preserve">information </w:t>
      </w:r>
      <w:r>
        <w:rPr>
          <w:spacing w:val="-5"/>
        </w:rPr>
        <w:t xml:space="preserve">internally </w:t>
      </w:r>
      <w:r>
        <w:t xml:space="preserve">for </w:t>
      </w:r>
      <w:r>
        <w:rPr>
          <w:spacing w:val="-3"/>
        </w:rPr>
        <w:t xml:space="preserve">the above </w:t>
      </w:r>
      <w:r>
        <w:rPr>
          <w:spacing w:val="-5"/>
        </w:rPr>
        <w:t xml:space="preserve">stated purpose. </w:t>
      </w:r>
      <w:r>
        <w:t xml:space="preserve">We </w:t>
      </w:r>
      <w:r>
        <w:rPr>
          <w:spacing w:val="-3"/>
        </w:rPr>
        <w:t xml:space="preserve">do </w:t>
      </w:r>
      <w:r>
        <w:rPr>
          <w:spacing w:val="-4"/>
        </w:rPr>
        <w:t xml:space="preserve">not </w:t>
      </w:r>
      <w:r>
        <w:rPr>
          <w:spacing w:val="-5"/>
        </w:rPr>
        <w:t xml:space="preserve">intend </w:t>
      </w:r>
      <w:r>
        <w:t xml:space="preserve">to </w:t>
      </w:r>
      <w:r>
        <w:rPr>
          <w:spacing w:val="-4"/>
        </w:rPr>
        <w:t xml:space="preserve">share </w:t>
      </w:r>
      <w:r>
        <w:t xml:space="preserve">your </w:t>
      </w:r>
      <w:r>
        <w:rPr>
          <w:spacing w:val="-5"/>
        </w:rPr>
        <w:t xml:space="preserve">personal </w:t>
      </w:r>
      <w:r>
        <w:rPr>
          <w:spacing w:val="-4"/>
        </w:rPr>
        <w:t xml:space="preserve">data </w:t>
      </w:r>
      <w:r>
        <w:t xml:space="preserve">with </w:t>
      </w:r>
      <w:r>
        <w:rPr>
          <w:spacing w:val="-4"/>
        </w:rPr>
        <w:t xml:space="preserve">any </w:t>
      </w:r>
      <w:r>
        <w:rPr>
          <w:spacing w:val="-5"/>
        </w:rPr>
        <w:t xml:space="preserve">other </w:t>
      </w:r>
      <w:r>
        <w:rPr>
          <w:spacing w:val="-3"/>
        </w:rPr>
        <w:t xml:space="preserve">third </w:t>
      </w:r>
      <w:r>
        <w:t xml:space="preserve">party. Any specific </w:t>
      </w:r>
      <w:r>
        <w:rPr>
          <w:spacing w:val="-5"/>
        </w:rPr>
        <w:t xml:space="preserve">requests </w:t>
      </w:r>
      <w:r>
        <w:t xml:space="preserve">from a </w:t>
      </w:r>
      <w:r>
        <w:rPr>
          <w:spacing w:val="-3"/>
        </w:rPr>
        <w:t xml:space="preserve">third party </w:t>
      </w:r>
      <w:r>
        <w:t xml:space="preserve">for </w:t>
      </w:r>
      <w:r>
        <w:rPr>
          <w:spacing w:val="-3"/>
        </w:rPr>
        <w:t xml:space="preserve">us </w:t>
      </w:r>
      <w:r>
        <w:t xml:space="preserve">to </w:t>
      </w:r>
      <w:r>
        <w:rPr>
          <w:spacing w:val="-4"/>
        </w:rPr>
        <w:t xml:space="preserve">share </w:t>
      </w:r>
      <w:r>
        <w:t xml:space="preserve">your </w:t>
      </w:r>
      <w:r>
        <w:rPr>
          <w:spacing w:val="-5"/>
        </w:rPr>
        <w:t xml:space="preserve">personal </w:t>
      </w:r>
      <w:r>
        <w:rPr>
          <w:spacing w:val="-4"/>
        </w:rPr>
        <w:t xml:space="preserve">data </w:t>
      </w:r>
      <w:r>
        <w:t xml:space="preserve">with </w:t>
      </w:r>
      <w:r>
        <w:rPr>
          <w:spacing w:val="-4"/>
        </w:rPr>
        <w:t xml:space="preserve">them </w:t>
      </w:r>
      <w:r>
        <w:rPr>
          <w:spacing w:val="-3"/>
        </w:rPr>
        <w:t xml:space="preserve">will be </w:t>
      </w:r>
      <w:r>
        <w:rPr>
          <w:spacing w:val="-5"/>
        </w:rPr>
        <w:t xml:space="preserve">dealt </w:t>
      </w:r>
      <w:r>
        <w:t xml:space="preserve">with </w:t>
      </w:r>
      <w:r>
        <w:rPr>
          <w:spacing w:val="-3"/>
        </w:rPr>
        <w:t xml:space="preserve">in </w:t>
      </w:r>
      <w:r>
        <w:t xml:space="preserve">accordance with </w:t>
      </w:r>
      <w:r>
        <w:rPr>
          <w:spacing w:val="-3"/>
        </w:rPr>
        <w:t xml:space="preserve">the </w:t>
      </w:r>
      <w:r w:rsidR="009601E2">
        <w:rPr>
          <w:spacing w:val="-4"/>
        </w:rPr>
        <w:t>provisions of</w:t>
      </w:r>
      <w:r>
        <w:rPr>
          <w:spacing w:val="-3"/>
        </w:rPr>
        <w:t xml:space="preserve"> the </w:t>
      </w:r>
      <w:r>
        <w:rPr>
          <w:spacing w:val="-4"/>
        </w:rPr>
        <w:t xml:space="preserve">data </w:t>
      </w:r>
      <w:r>
        <w:rPr>
          <w:spacing w:val="-3"/>
        </w:rPr>
        <w:t>protection</w:t>
      </w:r>
      <w:r>
        <w:rPr>
          <w:spacing w:val="34"/>
        </w:rPr>
        <w:t xml:space="preserve"> </w:t>
      </w:r>
      <w:r>
        <w:rPr>
          <w:spacing w:val="-4"/>
        </w:rPr>
        <w:t>laws.</w:t>
      </w:r>
    </w:p>
    <w:p w14:paraId="227ABC97" w14:textId="77777777" w:rsidR="000B74FF" w:rsidRDefault="000B74FF">
      <w:pPr>
        <w:pStyle w:val="BodyText"/>
        <w:spacing w:before="10"/>
        <w:rPr>
          <w:sz w:val="25"/>
        </w:rPr>
      </w:pPr>
    </w:p>
    <w:p w14:paraId="59A1C4D2" w14:textId="4C86DACD" w:rsidR="000B74FF" w:rsidRDefault="00000000">
      <w:pPr>
        <w:pStyle w:val="BodyText"/>
        <w:tabs>
          <w:tab w:val="left" w:pos="7042"/>
        </w:tabs>
        <w:spacing w:before="1" w:line="256" w:lineRule="auto"/>
        <w:ind w:left="101" w:right="252"/>
      </w:pPr>
      <w:r>
        <w:rPr>
          <w:spacing w:val="-4"/>
        </w:rPr>
        <w:t xml:space="preserve">When </w:t>
      </w:r>
      <w:r>
        <w:rPr>
          <w:spacing w:val="-3"/>
        </w:rPr>
        <w:t xml:space="preserve">the </w:t>
      </w:r>
      <w:r w:rsidR="009601E2">
        <w:rPr>
          <w:spacing w:val="-3"/>
        </w:rPr>
        <w:t>ESI survey</w:t>
      </w:r>
      <w:r>
        <w:t xml:space="preserve"> </w:t>
      </w:r>
      <w:r>
        <w:rPr>
          <w:spacing w:val="-4"/>
        </w:rPr>
        <w:t xml:space="preserve">closes </w:t>
      </w:r>
      <w:r>
        <w:rPr>
          <w:spacing w:val="-3"/>
        </w:rPr>
        <w:t xml:space="preserve">an </w:t>
      </w:r>
      <w:r>
        <w:rPr>
          <w:spacing w:val="-4"/>
        </w:rPr>
        <w:t xml:space="preserve">analysis </w:t>
      </w:r>
      <w:r>
        <w:rPr>
          <w:spacing w:val="-3"/>
        </w:rPr>
        <w:t xml:space="preserve">will be </w:t>
      </w:r>
      <w:r>
        <w:rPr>
          <w:spacing w:val="-5"/>
        </w:rPr>
        <w:t xml:space="preserve">done </w:t>
      </w:r>
      <w:r>
        <w:rPr>
          <w:spacing w:val="-3"/>
        </w:rPr>
        <w:t xml:space="preserve">of </w:t>
      </w:r>
      <w:r>
        <w:rPr>
          <w:spacing w:val="-4"/>
        </w:rPr>
        <w:t xml:space="preserve">all </w:t>
      </w:r>
      <w:r>
        <w:rPr>
          <w:spacing w:val="-3"/>
        </w:rPr>
        <w:t xml:space="preserve">the survey </w:t>
      </w:r>
      <w:r>
        <w:rPr>
          <w:spacing w:val="-5"/>
        </w:rPr>
        <w:t xml:space="preserve">replies </w:t>
      </w:r>
      <w:r>
        <w:rPr>
          <w:spacing w:val="-4"/>
        </w:rPr>
        <w:t xml:space="preserve">and </w:t>
      </w:r>
      <w:r>
        <w:t xml:space="preserve">a </w:t>
      </w:r>
      <w:r>
        <w:rPr>
          <w:spacing w:val="-5"/>
        </w:rPr>
        <w:t xml:space="preserve">response </w:t>
      </w:r>
      <w:r>
        <w:t xml:space="preserve">to </w:t>
      </w:r>
      <w:r w:rsidR="009601E2">
        <w:rPr>
          <w:spacing w:val="-3"/>
        </w:rPr>
        <w:t>the survey</w:t>
      </w:r>
      <w:r>
        <w:rPr>
          <w:spacing w:val="-5"/>
        </w:rPr>
        <w:t xml:space="preserve"> </w:t>
      </w:r>
      <w:r>
        <w:rPr>
          <w:spacing w:val="-3"/>
        </w:rPr>
        <w:t xml:space="preserve">will be </w:t>
      </w:r>
      <w:r>
        <w:rPr>
          <w:spacing w:val="-6"/>
        </w:rPr>
        <w:t xml:space="preserve">published </w:t>
      </w:r>
      <w:r>
        <w:rPr>
          <w:spacing w:val="-3"/>
        </w:rPr>
        <w:t xml:space="preserve">on the Department </w:t>
      </w:r>
      <w:r>
        <w:t xml:space="preserve">for Communities </w:t>
      </w:r>
      <w:r>
        <w:rPr>
          <w:spacing w:val="-5"/>
        </w:rPr>
        <w:t xml:space="preserve">website.   </w:t>
      </w:r>
      <w:r>
        <w:t xml:space="preserve">No </w:t>
      </w:r>
      <w:r w:rsidR="009601E2">
        <w:rPr>
          <w:spacing w:val="-5"/>
        </w:rPr>
        <w:t>respondent names</w:t>
      </w:r>
      <w:r>
        <w:t xml:space="preserve"> </w:t>
      </w:r>
      <w:r>
        <w:rPr>
          <w:spacing w:val="-3"/>
        </w:rPr>
        <w:t>will</w:t>
      </w:r>
      <w:r>
        <w:rPr>
          <w:spacing w:val="-17"/>
        </w:rPr>
        <w:t xml:space="preserve"> </w:t>
      </w:r>
      <w:r>
        <w:rPr>
          <w:spacing w:val="-3"/>
        </w:rPr>
        <w:t>be</w:t>
      </w:r>
      <w:r>
        <w:rPr>
          <w:spacing w:val="6"/>
        </w:rPr>
        <w:t xml:space="preserve"> </w:t>
      </w:r>
      <w:r>
        <w:rPr>
          <w:spacing w:val="-6"/>
        </w:rPr>
        <w:t>published</w:t>
      </w:r>
      <w:r w:rsidR="009601E2">
        <w:rPr>
          <w:spacing w:val="-6"/>
        </w:rPr>
        <w:t>.</w:t>
      </w:r>
    </w:p>
    <w:p w14:paraId="2E088F92" w14:textId="77777777" w:rsidR="000B74FF" w:rsidRDefault="000B74FF">
      <w:pPr>
        <w:pStyle w:val="BodyText"/>
        <w:rPr>
          <w:sz w:val="26"/>
        </w:rPr>
      </w:pPr>
    </w:p>
    <w:p w14:paraId="1978A15E" w14:textId="77777777" w:rsidR="000B74FF" w:rsidRDefault="000B74FF">
      <w:pPr>
        <w:pStyle w:val="BodyText"/>
        <w:rPr>
          <w:sz w:val="35"/>
        </w:rPr>
      </w:pPr>
    </w:p>
    <w:p w14:paraId="43D35802" w14:textId="77777777" w:rsidR="000B74FF" w:rsidRDefault="00000000">
      <w:pPr>
        <w:pStyle w:val="Heading1"/>
      </w:pPr>
      <w:r>
        <w:t>How long will we keep your information</w:t>
      </w:r>
    </w:p>
    <w:p w14:paraId="1DE41BCC" w14:textId="77777777" w:rsidR="000B74FF" w:rsidRDefault="000B74FF">
      <w:pPr>
        <w:pStyle w:val="BodyText"/>
        <w:spacing w:before="8"/>
        <w:rPr>
          <w:b/>
        </w:rPr>
      </w:pPr>
    </w:p>
    <w:p w14:paraId="530B1722" w14:textId="77777777" w:rsidR="000B74FF" w:rsidRDefault="00000000">
      <w:pPr>
        <w:pStyle w:val="BodyText"/>
        <w:spacing w:line="242" w:lineRule="auto"/>
        <w:ind w:left="101" w:right="356"/>
      </w:pPr>
      <w:r>
        <w:t xml:space="preserve">We will retain questionnaire response information until our work on the prospective Debt Respite policy is complete, and in line with the Department’s approved Retention and Disposal Schedule (which can be accessed through: </w:t>
      </w:r>
      <w:hyperlink r:id="rId9">
        <w:r w:rsidR="000B74FF">
          <w:rPr>
            <w:color w:val="0462C1"/>
            <w:u w:val="single" w:color="0462C1"/>
          </w:rPr>
          <w:t>https://www.communities-ni.gov.uk/dfc-privacy-notice</w:t>
        </w:r>
      </w:hyperlink>
      <w:r>
        <w:rPr>
          <w:color w:val="0462C1"/>
          <w:u w:val="single" w:color="0462C1"/>
        </w:rPr>
        <w:t>).</w:t>
      </w:r>
    </w:p>
    <w:p w14:paraId="6B834BC4" w14:textId="77777777" w:rsidR="000B74FF" w:rsidRDefault="000B74FF">
      <w:pPr>
        <w:pStyle w:val="BodyText"/>
        <w:rPr>
          <w:sz w:val="20"/>
        </w:rPr>
      </w:pPr>
    </w:p>
    <w:p w14:paraId="26FE84EF" w14:textId="77777777" w:rsidR="000B74FF" w:rsidRDefault="000B74FF">
      <w:pPr>
        <w:pStyle w:val="BodyText"/>
        <w:rPr>
          <w:sz w:val="20"/>
        </w:rPr>
      </w:pPr>
    </w:p>
    <w:p w14:paraId="0D3E7981" w14:textId="77777777" w:rsidR="000B74FF" w:rsidRDefault="000B74FF">
      <w:pPr>
        <w:pStyle w:val="BodyText"/>
        <w:spacing w:before="5"/>
        <w:rPr>
          <w:sz w:val="20"/>
        </w:rPr>
      </w:pPr>
    </w:p>
    <w:p w14:paraId="30C7F194" w14:textId="77777777" w:rsidR="000B74FF" w:rsidRDefault="00000000">
      <w:pPr>
        <w:pStyle w:val="Heading1"/>
      </w:pPr>
      <w:r>
        <w:t>What are your rights?</w:t>
      </w:r>
    </w:p>
    <w:p w14:paraId="018B7896" w14:textId="77777777" w:rsidR="000B74FF" w:rsidRDefault="000B74FF">
      <w:pPr>
        <w:pStyle w:val="BodyText"/>
        <w:spacing w:before="8"/>
        <w:rPr>
          <w:b/>
        </w:rPr>
      </w:pPr>
    </w:p>
    <w:p w14:paraId="5E9DC059" w14:textId="77777777" w:rsidR="000B74FF" w:rsidRDefault="00000000">
      <w:pPr>
        <w:pStyle w:val="ListParagraph"/>
        <w:numPr>
          <w:ilvl w:val="0"/>
          <w:numId w:val="1"/>
        </w:numPr>
        <w:tabs>
          <w:tab w:val="left" w:pos="822"/>
          <w:tab w:val="left" w:pos="823"/>
        </w:tabs>
        <w:spacing w:before="0" w:line="352" w:lineRule="auto"/>
        <w:ind w:right="471"/>
        <w:rPr>
          <w:rFonts w:ascii="Symbol" w:hAnsi="Symbol"/>
          <w:sz w:val="24"/>
        </w:rPr>
      </w:pPr>
      <w:r>
        <w:rPr>
          <w:sz w:val="24"/>
        </w:rPr>
        <w:t xml:space="preserve">You have </w:t>
      </w:r>
      <w:r>
        <w:rPr>
          <w:spacing w:val="-3"/>
          <w:sz w:val="24"/>
        </w:rPr>
        <w:t xml:space="preserve">the </w:t>
      </w:r>
      <w:r>
        <w:rPr>
          <w:spacing w:val="-4"/>
          <w:sz w:val="24"/>
        </w:rPr>
        <w:t xml:space="preserve">right </w:t>
      </w:r>
      <w:r>
        <w:rPr>
          <w:sz w:val="24"/>
        </w:rPr>
        <w:t xml:space="preserve">to </w:t>
      </w:r>
      <w:r>
        <w:rPr>
          <w:spacing w:val="-5"/>
          <w:sz w:val="24"/>
        </w:rPr>
        <w:t xml:space="preserve">obtain </w:t>
      </w:r>
      <w:r>
        <w:rPr>
          <w:sz w:val="24"/>
        </w:rPr>
        <w:t xml:space="preserve">confirmation </w:t>
      </w:r>
      <w:r>
        <w:rPr>
          <w:spacing w:val="-4"/>
          <w:sz w:val="24"/>
        </w:rPr>
        <w:t xml:space="preserve">that </w:t>
      </w:r>
      <w:r>
        <w:rPr>
          <w:sz w:val="24"/>
        </w:rPr>
        <w:t xml:space="preserve">your </w:t>
      </w:r>
      <w:r>
        <w:rPr>
          <w:spacing w:val="-4"/>
          <w:sz w:val="24"/>
        </w:rPr>
        <w:t xml:space="preserve">data </w:t>
      </w:r>
      <w:r>
        <w:rPr>
          <w:spacing w:val="-3"/>
          <w:sz w:val="24"/>
        </w:rPr>
        <w:t xml:space="preserve">is </w:t>
      </w:r>
      <w:r>
        <w:rPr>
          <w:spacing w:val="-5"/>
          <w:sz w:val="24"/>
        </w:rPr>
        <w:t>being</w:t>
      </w:r>
      <w:r>
        <w:rPr>
          <w:color w:val="0462C1"/>
          <w:spacing w:val="-5"/>
          <w:sz w:val="24"/>
        </w:rPr>
        <w:t xml:space="preserve"> </w:t>
      </w:r>
      <w:hyperlink r:id="rId10">
        <w:r w:rsidR="000B74FF">
          <w:rPr>
            <w:color w:val="0462C1"/>
            <w:spacing w:val="-4"/>
            <w:sz w:val="24"/>
            <w:u w:val="single" w:color="0462C1"/>
          </w:rPr>
          <w:t>processed,</w:t>
        </w:r>
      </w:hyperlink>
      <w:hyperlink r:id="rId11">
        <w:r w:rsidR="000B74FF">
          <w:rPr>
            <w:color w:val="0462C1"/>
            <w:spacing w:val="-4"/>
            <w:sz w:val="24"/>
            <w:u w:val="single" w:color="0462C1"/>
          </w:rPr>
          <w:t xml:space="preserve"> and </w:t>
        </w:r>
        <w:r w:rsidR="000B74FF">
          <w:rPr>
            <w:color w:val="0462C1"/>
            <w:sz w:val="24"/>
            <w:u w:val="single" w:color="0462C1"/>
          </w:rPr>
          <w:t xml:space="preserve">access to your </w:t>
        </w:r>
        <w:r w:rsidR="000B74FF">
          <w:rPr>
            <w:color w:val="0462C1"/>
            <w:spacing w:val="-5"/>
            <w:sz w:val="24"/>
            <w:u w:val="single" w:color="0462C1"/>
          </w:rPr>
          <w:t>personal</w:t>
        </w:r>
        <w:r w:rsidR="000B74FF">
          <w:rPr>
            <w:color w:val="0462C1"/>
            <w:spacing w:val="-3"/>
            <w:sz w:val="24"/>
            <w:u w:val="single" w:color="0462C1"/>
          </w:rPr>
          <w:t xml:space="preserve"> </w:t>
        </w:r>
        <w:r w:rsidR="000B74FF">
          <w:rPr>
            <w:color w:val="0462C1"/>
            <w:spacing w:val="-4"/>
            <w:sz w:val="24"/>
            <w:u w:val="single" w:color="0462C1"/>
          </w:rPr>
          <w:t>data</w:t>
        </w:r>
      </w:hyperlink>
    </w:p>
    <w:p w14:paraId="64E8F677" w14:textId="77777777" w:rsidR="000B74FF" w:rsidRDefault="00000000">
      <w:pPr>
        <w:pStyle w:val="ListParagraph"/>
        <w:numPr>
          <w:ilvl w:val="0"/>
          <w:numId w:val="1"/>
        </w:numPr>
        <w:tabs>
          <w:tab w:val="left" w:pos="822"/>
          <w:tab w:val="left" w:pos="823"/>
        </w:tabs>
        <w:rPr>
          <w:rFonts w:ascii="Symbol" w:hAnsi="Symbol"/>
          <w:sz w:val="24"/>
        </w:rPr>
      </w:pPr>
      <w:r>
        <w:rPr>
          <w:sz w:val="24"/>
        </w:rPr>
        <w:t xml:space="preserve">You are </w:t>
      </w:r>
      <w:r>
        <w:rPr>
          <w:spacing w:val="-5"/>
          <w:sz w:val="24"/>
        </w:rPr>
        <w:t xml:space="preserve">entitled </w:t>
      </w:r>
      <w:r>
        <w:rPr>
          <w:sz w:val="24"/>
        </w:rPr>
        <w:t xml:space="preserve">to have </w:t>
      </w:r>
      <w:r>
        <w:rPr>
          <w:spacing w:val="-5"/>
          <w:sz w:val="24"/>
        </w:rPr>
        <w:t xml:space="preserve">personal </w:t>
      </w:r>
      <w:r>
        <w:rPr>
          <w:spacing w:val="-4"/>
          <w:sz w:val="24"/>
        </w:rPr>
        <w:t>data</w:t>
      </w:r>
      <w:r>
        <w:rPr>
          <w:color w:val="0462C1"/>
          <w:spacing w:val="-4"/>
          <w:sz w:val="24"/>
        </w:rPr>
        <w:t xml:space="preserve"> </w:t>
      </w:r>
      <w:hyperlink r:id="rId12">
        <w:r w:rsidR="000B74FF">
          <w:rPr>
            <w:color w:val="0462C1"/>
            <w:sz w:val="24"/>
            <w:u w:val="single" w:color="0462C1"/>
          </w:rPr>
          <w:t xml:space="preserve">rectified </w:t>
        </w:r>
        <w:r w:rsidR="000B74FF">
          <w:rPr>
            <w:color w:val="0462C1"/>
            <w:spacing w:val="-3"/>
            <w:sz w:val="24"/>
            <w:u w:val="single" w:color="0462C1"/>
          </w:rPr>
          <w:t xml:space="preserve">if it is </w:t>
        </w:r>
        <w:r w:rsidR="000B74FF">
          <w:rPr>
            <w:color w:val="0462C1"/>
            <w:sz w:val="24"/>
            <w:u w:val="single" w:color="0462C1"/>
          </w:rPr>
          <w:t xml:space="preserve">inaccurate </w:t>
        </w:r>
        <w:r w:rsidR="000B74FF">
          <w:rPr>
            <w:color w:val="0462C1"/>
            <w:spacing w:val="-3"/>
            <w:sz w:val="24"/>
            <w:u w:val="single" w:color="0462C1"/>
          </w:rPr>
          <w:t>or</w:t>
        </w:r>
        <w:r w:rsidR="000B74FF">
          <w:rPr>
            <w:color w:val="0462C1"/>
            <w:spacing w:val="9"/>
            <w:sz w:val="24"/>
            <w:u w:val="single" w:color="0462C1"/>
          </w:rPr>
          <w:t xml:space="preserve"> </w:t>
        </w:r>
        <w:r w:rsidR="000B74FF">
          <w:rPr>
            <w:color w:val="0462C1"/>
            <w:spacing w:val="-3"/>
            <w:sz w:val="24"/>
            <w:u w:val="single" w:color="0462C1"/>
          </w:rPr>
          <w:t>incomplete</w:t>
        </w:r>
      </w:hyperlink>
    </w:p>
    <w:p w14:paraId="58441A41" w14:textId="77777777" w:rsidR="000B74FF" w:rsidRDefault="00000000">
      <w:pPr>
        <w:pStyle w:val="ListParagraph"/>
        <w:numPr>
          <w:ilvl w:val="0"/>
          <w:numId w:val="1"/>
        </w:numPr>
        <w:tabs>
          <w:tab w:val="left" w:pos="822"/>
          <w:tab w:val="left" w:pos="823"/>
        </w:tabs>
        <w:spacing w:before="123" w:line="352" w:lineRule="auto"/>
        <w:ind w:right="344"/>
        <w:rPr>
          <w:rFonts w:ascii="Symbol" w:hAnsi="Symbol"/>
          <w:sz w:val="24"/>
        </w:rPr>
      </w:pPr>
      <w:r>
        <w:rPr>
          <w:sz w:val="24"/>
        </w:rPr>
        <w:t xml:space="preserve">You have a </w:t>
      </w:r>
      <w:r>
        <w:rPr>
          <w:spacing w:val="-4"/>
          <w:sz w:val="24"/>
        </w:rPr>
        <w:t xml:space="preserve">right </w:t>
      </w:r>
      <w:r>
        <w:rPr>
          <w:sz w:val="24"/>
        </w:rPr>
        <w:t xml:space="preserve">to have </w:t>
      </w:r>
      <w:r>
        <w:rPr>
          <w:spacing w:val="-5"/>
          <w:sz w:val="24"/>
        </w:rPr>
        <w:t xml:space="preserve">personal </w:t>
      </w:r>
      <w:r>
        <w:rPr>
          <w:spacing w:val="-4"/>
          <w:sz w:val="24"/>
        </w:rPr>
        <w:t>data</w:t>
      </w:r>
      <w:r>
        <w:rPr>
          <w:color w:val="0462C1"/>
          <w:spacing w:val="-4"/>
          <w:sz w:val="24"/>
        </w:rPr>
        <w:t xml:space="preserve"> </w:t>
      </w:r>
      <w:hyperlink r:id="rId13">
        <w:r w:rsidR="000B74FF">
          <w:rPr>
            <w:color w:val="0462C1"/>
            <w:spacing w:val="-5"/>
            <w:sz w:val="24"/>
            <w:u w:val="single" w:color="0462C1"/>
          </w:rPr>
          <w:t xml:space="preserve">erased </w:t>
        </w:r>
        <w:r w:rsidR="000B74FF">
          <w:rPr>
            <w:color w:val="0462C1"/>
            <w:spacing w:val="-4"/>
            <w:sz w:val="24"/>
            <w:u w:val="single" w:color="0462C1"/>
          </w:rPr>
          <w:t xml:space="preserve">and </w:t>
        </w:r>
        <w:r w:rsidR="000B74FF">
          <w:rPr>
            <w:color w:val="0462C1"/>
            <w:sz w:val="24"/>
            <w:u w:val="single" w:color="0462C1"/>
          </w:rPr>
          <w:t xml:space="preserve">to </w:t>
        </w:r>
        <w:r w:rsidR="000B74FF">
          <w:rPr>
            <w:color w:val="0462C1"/>
            <w:spacing w:val="-3"/>
            <w:sz w:val="24"/>
            <w:u w:val="single" w:color="0462C1"/>
          </w:rPr>
          <w:t xml:space="preserve">prevent </w:t>
        </w:r>
        <w:r w:rsidR="000B74FF">
          <w:rPr>
            <w:color w:val="0462C1"/>
            <w:spacing w:val="-4"/>
            <w:sz w:val="24"/>
            <w:u w:val="single" w:color="0462C1"/>
          </w:rPr>
          <w:t>processing</w:t>
        </w:r>
        <w:r w:rsidR="000B74FF">
          <w:rPr>
            <w:spacing w:val="-4"/>
            <w:sz w:val="24"/>
          </w:rPr>
          <w:t>,</w:t>
        </w:r>
      </w:hyperlink>
      <w:r>
        <w:rPr>
          <w:spacing w:val="-4"/>
          <w:sz w:val="24"/>
        </w:rPr>
        <w:t xml:space="preserve"> </w:t>
      </w:r>
      <w:r>
        <w:rPr>
          <w:spacing w:val="-6"/>
          <w:sz w:val="24"/>
        </w:rPr>
        <w:t xml:space="preserve">in </w:t>
      </w:r>
      <w:r>
        <w:rPr>
          <w:sz w:val="24"/>
        </w:rPr>
        <w:t>specific</w:t>
      </w:r>
      <w:r>
        <w:rPr>
          <w:spacing w:val="4"/>
          <w:sz w:val="24"/>
        </w:rPr>
        <w:t xml:space="preserve"> </w:t>
      </w:r>
      <w:r>
        <w:rPr>
          <w:sz w:val="24"/>
        </w:rPr>
        <w:t>circumstances</w:t>
      </w:r>
    </w:p>
    <w:p w14:paraId="47B02673" w14:textId="77777777" w:rsidR="000B74FF" w:rsidRDefault="00000000">
      <w:pPr>
        <w:pStyle w:val="ListParagraph"/>
        <w:numPr>
          <w:ilvl w:val="0"/>
          <w:numId w:val="1"/>
        </w:numPr>
        <w:tabs>
          <w:tab w:val="left" w:pos="822"/>
          <w:tab w:val="left" w:pos="823"/>
        </w:tabs>
        <w:spacing w:line="352" w:lineRule="auto"/>
        <w:ind w:right="808"/>
        <w:rPr>
          <w:rFonts w:ascii="Symbol" w:hAnsi="Symbol"/>
          <w:sz w:val="24"/>
        </w:rPr>
      </w:pPr>
      <w:r>
        <w:rPr>
          <w:sz w:val="24"/>
        </w:rPr>
        <w:t xml:space="preserve">You have </w:t>
      </w:r>
      <w:r>
        <w:rPr>
          <w:spacing w:val="-3"/>
          <w:sz w:val="24"/>
        </w:rPr>
        <w:t xml:space="preserve">the </w:t>
      </w:r>
      <w:r>
        <w:rPr>
          <w:spacing w:val="-4"/>
          <w:sz w:val="24"/>
        </w:rPr>
        <w:t>right</w:t>
      </w:r>
      <w:hyperlink r:id="rId14">
        <w:r w:rsidR="000B74FF">
          <w:rPr>
            <w:color w:val="0462C1"/>
            <w:spacing w:val="-4"/>
            <w:sz w:val="24"/>
            <w:u w:val="single" w:color="0462C1"/>
          </w:rPr>
          <w:t xml:space="preserve"> </w:t>
        </w:r>
        <w:r w:rsidR="000B74FF">
          <w:rPr>
            <w:color w:val="0462C1"/>
            <w:sz w:val="24"/>
            <w:u w:val="single" w:color="0462C1"/>
          </w:rPr>
          <w:t xml:space="preserve">to ‘block’ </w:t>
        </w:r>
        <w:r w:rsidR="000B74FF">
          <w:rPr>
            <w:color w:val="0462C1"/>
            <w:spacing w:val="-3"/>
            <w:sz w:val="24"/>
            <w:u w:val="single" w:color="0462C1"/>
          </w:rPr>
          <w:t xml:space="preserve">or </w:t>
        </w:r>
        <w:r w:rsidR="000B74FF">
          <w:rPr>
            <w:color w:val="0462C1"/>
            <w:spacing w:val="-5"/>
            <w:sz w:val="24"/>
            <w:u w:val="single" w:color="0462C1"/>
          </w:rPr>
          <w:t xml:space="preserve">suppress </w:t>
        </w:r>
        <w:r w:rsidR="000B74FF">
          <w:rPr>
            <w:color w:val="0462C1"/>
            <w:spacing w:val="-4"/>
            <w:sz w:val="24"/>
            <w:u w:val="single" w:color="0462C1"/>
          </w:rPr>
          <w:t>processing</w:t>
        </w:r>
      </w:hyperlink>
      <w:r>
        <w:rPr>
          <w:color w:val="0462C1"/>
          <w:spacing w:val="-4"/>
          <w:sz w:val="24"/>
        </w:rPr>
        <w:t xml:space="preserve"> </w:t>
      </w:r>
      <w:r>
        <w:rPr>
          <w:spacing w:val="-3"/>
          <w:sz w:val="24"/>
        </w:rPr>
        <w:t xml:space="preserve">of </w:t>
      </w:r>
      <w:r>
        <w:rPr>
          <w:spacing w:val="-5"/>
          <w:sz w:val="24"/>
        </w:rPr>
        <w:t xml:space="preserve">personal data, </w:t>
      </w:r>
      <w:r>
        <w:rPr>
          <w:spacing w:val="-6"/>
          <w:sz w:val="24"/>
        </w:rPr>
        <w:t xml:space="preserve">in </w:t>
      </w:r>
      <w:r>
        <w:rPr>
          <w:sz w:val="24"/>
        </w:rPr>
        <w:t>specific</w:t>
      </w:r>
      <w:r>
        <w:rPr>
          <w:spacing w:val="4"/>
          <w:sz w:val="24"/>
        </w:rPr>
        <w:t xml:space="preserve"> </w:t>
      </w:r>
      <w:r>
        <w:rPr>
          <w:sz w:val="24"/>
        </w:rPr>
        <w:t>circumstances</w:t>
      </w:r>
    </w:p>
    <w:p w14:paraId="4BBFE6C3" w14:textId="77777777" w:rsidR="000B74FF" w:rsidRDefault="00000000">
      <w:pPr>
        <w:pStyle w:val="ListParagraph"/>
        <w:numPr>
          <w:ilvl w:val="0"/>
          <w:numId w:val="1"/>
        </w:numPr>
        <w:tabs>
          <w:tab w:val="left" w:pos="822"/>
          <w:tab w:val="left" w:pos="823"/>
        </w:tabs>
        <w:rPr>
          <w:rFonts w:ascii="Symbol" w:hAnsi="Symbol"/>
          <w:sz w:val="24"/>
        </w:rPr>
      </w:pPr>
      <w:r>
        <w:rPr>
          <w:sz w:val="24"/>
        </w:rPr>
        <w:t xml:space="preserve">You have </w:t>
      </w:r>
      <w:r>
        <w:rPr>
          <w:spacing w:val="-3"/>
          <w:sz w:val="24"/>
        </w:rPr>
        <w:t xml:space="preserve">the </w:t>
      </w:r>
      <w:r>
        <w:rPr>
          <w:spacing w:val="-4"/>
          <w:sz w:val="24"/>
        </w:rPr>
        <w:t xml:space="preserve">right </w:t>
      </w:r>
      <w:r>
        <w:rPr>
          <w:sz w:val="24"/>
        </w:rPr>
        <w:t>to</w:t>
      </w:r>
      <w:r>
        <w:rPr>
          <w:color w:val="0462C1"/>
          <w:sz w:val="24"/>
        </w:rPr>
        <w:t xml:space="preserve"> </w:t>
      </w:r>
      <w:hyperlink r:id="rId15">
        <w:r w:rsidR="000B74FF">
          <w:rPr>
            <w:color w:val="0462C1"/>
            <w:spacing w:val="-4"/>
            <w:sz w:val="24"/>
            <w:u w:val="single" w:color="0462C1"/>
          </w:rPr>
          <w:t>data portability</w:t>
        </w:r>
        <w:r w:rsidR="000B74FF">
          <w:rPr>
            <w:spacing w:val="-4"/>
            <w:sz w:val="24"/>
          </w:rPr>
          <w:t xml:space="preserve">, </w:t>
        </w:r>
      </w:hyperlink>
      <w:r>
        <w:rPr>
          <w:spacing w:val="-3"/>
          <w:sz w:val="24"/>
        </w:rPr>
        <w:t xml:space="preserve">in </w:t>
      </w:r>
      <w:r>
        <w:rPr>
          <w:sz w:val="24"/>
        </w:rPr>
        <w:t>specific</w:t>
      </w:r>
      <w:r>
        <w:rPr>
          <w:spacing w:val="50"/>
          <w:sz w:val="24"/>
        </w:rPr>
        <w:t xml:space="preserve"> </w:t>
      </w:r>
      <w:r>
        <w:rPr>
          <w:sz w:val="24"/>
        </w:rPr>
        <w:t>circumstances</w:t>
      </w:r>
    </w:p>
    <w:p w14:paraId="1C04B0A4" w14:textId="77777777" w:rsidR="000B74FF" w:rsidRDefault="00000000">
      <w:pPr>
        <w:pStyle w:val="ListParagraph"/>
        <w:numPr>
          <w:ilvl w:val="0"/>
          <w:numId w:val="1"/>
        </w:numPr>
        <w:tabs>
          <w:tab w:val="left" w:pos="822"/>
          <w:tab w:val="left" w:pos="823"/>
        </w:tabs>
        <w:spacing w:before="138"/>
        <w:rPr>
          <w:rFonts w:ascii="Symbol" w:hAnsi="Symbol"/>
        </w:rPr>
      </w:pPr>
      <w:r>
        <w:rPr>
          <w:b/>
          <w:sz w:val="24"/>
        </w:rPr>
        <w:t xml:space="preserve">You </w:t>
      </w:r>
      <w:r>
        <w:rPr>
          <w:b/>
          <w:spacing w:val="-4"/>
          <w:sz w:val="24"/>
        </w:rPr>
        <w:t xml:space="preserve">have </w:t>
      </w:r>
      <w:r>
        <w:rPr>
          <w:b/>
          <w:sz w:val="24"/>
        </w:rPr>
        <w:t>the right to</w:t>
      </w:r>
      <w:r>
        <w:rPr>
          <w:b/>
          <w:color w:val="0462C1"/>
          <w:sz w:val="24"/>
        </w:rPr>
        <w:t xml:space="preserve"> </w:t>
      </w:r>
      <w:hyperlink r:id="rId16">
        <w:r w:rsidR="000B74FF">
          <w:rPr>
            <w:color w:val="0462C1"/>
            <w:spacing w:val="-3"/>
            <w:sz w:val="24"/>
            <w:u w:val="single" w:color="0462C1"/>
          </w:rPr>
          <w:t xml:space="preserve">object </w:t>
        </w:r>
        <w:r w:rsidR="000B74FF">
          <w:rPr>
            <w:color w:val="0462C1"/>
            <w:sz w:val="24"/>
            <w:u w:val="single" w:color="0462C1"/>
          </w:rPr>
          <w:t xml:space="preserve">to </w:t>
        </w:r>
        <w:r w:rsidR="000B74FF">
          <w:rPr>
            <w:color w:val="0462C1"/>
            <w:spacing w:val="-3"/>
            <w:sz w:val="24"/>
            <w:u w:val="single" w:color="0462C1"/>
          </w:rPr>
          <w:t xml:space="preserve">the </w:t>
        </w:r>
        <w:r w:rsidR="000B74FF">
          <w:rPr>
            <w:color w:val="0462C1"/>
            <w:spacing w:val="-4"/>
            <w:sz w:val="24"/>
            <w:u w:val="single" w:color="0462C1"/>
          </w:rPr>
          <w:t>processing</w:t>
        </w:r>
        <w:r w:rsidR="000B74FF">
          <w:rPr>
            <w:b/>
            <w:spacing w:val="-4"/>
            <w:sz w:val="24"/>
          </w:rPr>
          <w:t>,</w:t>
        </w:r>
      </w:hyperlink>
      <w:r>
        <w:rPr>
          <w:b/>
          <w:spacing w:val="-4"/>
          <w:sz w:val="24"/>
        </w:rPr>
        <w:t xml:space="preserve"> </w:t>
      </w:r>
      <w:r>
        <w:rPr>
          <w:spacing w:val="-3"/>
          <w:sz w:val="24"/>
        </w:rPr>
        <w:t xml:space="preserve">in </w:t>
      </w:r>
      <w:r>
        <w:rPr>
          <w:sz w:val="24"/>
        </w:rPr>
        <w:t>specific</w:t>
      </w:r>
      <w:r>
        <w:rPr>
          <w:spacing w:val="32"/>
          <w:sz w:val="24"/>
        </w:rPr>
        <w:t xml:space="preserve"> </w:t>
      </w:r>
      <w:r>
        <w:rPr>
          <w:sz w:val="24"/>
        </w:rPr>
        <w:t>circumstances</w:t>
      </w:r>
    </w:p>
    <w:p w14:paraId="7AF94955" w14:textId="77777777" w:rsidR="000B74FF" w:rsidRDefault="00000000">
      <w:pPr>
        <w:pStyle w:val="ListParagraph"/>
        <w:numPr>
          <w:ilvl w:val="0"/>
          <w:numId w:val="1"/>
        </w:numPr>
        <w:tabs>
          <w:tab w:val="left" w:pos="822"/>
          <w:tab w:val="left" w:pos="823"/>
        </w:tabs>
        <w:spacing w:before="141"/>
        <w:rPr>
          <w:rFonts w:ascii="Symbol" w:hAnsi="Symbol"/>
          <w:sz w:val="24"/>
        </w:rPr>
      </w:pPr>
      <w:r>
        <w:rPr>
          <w:b/>
          <w:sz w:val="24"/>
        </w:rPr>
        <w:t xml:space="preserve">You </w:t>
      </w:r>
      <w:r>
        <w:rPr>
          <w:b/>
          <w:spacing w:val="-4"/>
          <w:sz w:val="24"/>
        </w:rPr>
        <w:t xml:space="preserve">have </w:t>
      </w:r>
      <w:r>
        <w:rPr>
          <w:b/>
          <w:sz w:val="24"/>
        </w:rPr>
        <w:t xml:space="preserve">rights in </w:t>
      </w:r>
      <w:r>
        <w:rPr>
          <w:b/>
          <w:spacing w:val="-3"/>
          <w:sz w:val="24"/>
        </w:rPr>
        <w:t xml:space="preserve">relation </w:t>
      </w:r>
      <w:r>
        <w:rPr>
          <w:b/>
          <w:sz w:val="24"/>
        </w:rPr>
        <w:t>to</w:t>
      </w:r>
      <w:r>
        <w:rPr>
          <w:b/>
          <w:color w:val="0462C1"/>
          <w:sz w:val="24"/>
        </w:rPr>
        <w:t xml:space="preserve"> </w:t>
      </w:r>
      <w:hyperlink r:id="rId17">
        <w:r w:rsidR="000B74FF">
          <w:rPr>
            <w:color w:val="0462C1"/>
            <w:spacing w:val="-4"/>
            <w:sz w:val="24"/>
            <w:u w:val="single" w:color="0462C1"/>
          </w:rPr>
          <w:t xml:space="preserve">automated decision </w:t>
        </w:r>
        <w:r w:rsidR="000B74FF">
          <w:rPr>
            <w:color w:val="0462C1"/>
            <w:sz w:val="24"/>
            <w:u w:val="single" w:color="0462C1"/>
          </w:rPr>
          <w:t xml:space="preserve">making </w:t>
        </w:r>
        <w:r w:rsidR="000B74FF">
          <w:rPr>
            <w:color w:val="0462C1"/>
            <w:spacing w:val="-4"/>
            <w:sz w:val="24"/>
            <w:u w:val="single" w:color="0462C1"/>
          </w:rPr>
          <w:t>and</w:t>
        </w:r>
        <w:r w:rsidR="000B74FF">
          <w:rPr>
            <w:color w:val="0462C1"/>
            <w:spacing w:val="58"/>
            <w:sz w:val="24"/>
            <w:u w:val="single" w:color="0462C1"/>
          </w:rPr>
          <w:t xml:space="preserve"> </w:t>
        </w:r>
        <w:r w:rsidR="000B74FF">
          <w:rPr>
            <w:color w:val="0462C1"/>
            <w:spacing w:val="-3"/>
            <w:sz w:val="24"/>
            <w:u w:val="single" w:color="0462C1"/>
          </w:rPr>
          <w:t>profiling.</w:t>
        </w:r>
      </w:hyperlink>
    </w:p>
    <w:p w14:paraId="487F4634" w14:textId="77777777" w:rsidR="000B74FF" w:rsidRDefault="000B74FF">
      <w:pPr>
        <w:pStyle w:val="BodyText"/>
        <w:rPr>
          <w:sz w:val="20"/>
        </w:rPr>
      </w:pPr>
    </w:p>
    <w:p w14:paraId="55B50A56" w14:textId="77777777" w:rsidR="000B74FF" w:rsidRDefault="000B74FF">
      <w:pPr>
        <w:pStyle w:val="BodyText"/>
        <w:rPr>
          <w:sz w:val="20"/>
        </w:rPr>
      </w:pPr>
    </w:p>
    <w:p w14:paraId="1D5A7018" w14:textId="77777777" w:rsidR="000B74FF" w:rsidRDefault="000B74FF">
      <w:pPr>
        <w:pStyle w:val="BodyText"/>
        <w:spacing w:before="5"/>
        <w:rPr>
          <w:sz w:val="29"/>
        </w:rPr>
      </w:pPr>
    </w:p>
    <w:p w14:paraId="318AFCF2" w14:textId="77777777" w:rsidR="000B74FF" w:rsidRDefault="00000000">
      <w:pPr>
        <w:pStyle w:val="Heading1"/>
        <w:spacing w:before="95" w:line="237" w:lineRule="auto"/>
      </w:pPr>
      <w:r>
        <w:t>How to complain if you are not happy with how we process your personal information</w:t>
      </w:r>
    </w:p>
    <w:p w14:paraId="3C169A8B" w14:textId="77777777" w:rsidR="000B74FF" w:rsidRDefault="000B74FF">
      <w:pPr>
        <w:pStyle w:val="BodyText"/>
        <w:spacing w:before="5"/>
        <w:rPr>
          <w:b/>
          <w:sz w:val="20"/>
        </w:rPr>
      </w:pPr>
    </w:p>
    <w:p w14:paraId="4A339D0A" w14:textId="77777777" w:rsidR="000B74FF" w:rsidRDefault="00000000">
      <w:pPr>
        <w:pStyle w:val="BodyText"/>
        <w:spacing w:before="1" w:line="244" w:lineRule="auto"/>
        <w:ind w:left="101" w:right="252"/>
      </w:pPr>
      <w:r>
        <w:t>If you wish to request access, object or raise a complaint about how we have handled your data, you can contact our Data Protection Officer using the details above.</w:t>
      </w:r>
    </w:p>
    <w:p w14:paraId="391C5A9B" w14:textId="77777777" w:rsidR="000B74FF" w:rsidRDefault="000B74FF">
      <w:pPr>
        <w:spacing w:line="244" w:lineRule="auto"/>
        <w:sectPr w:rsidR="000B74FF">
          <w:pgSz w:w="11910" w:h="16840"/>
          <w:pgMar w:top="1360" w:right="1320" w:bottom="280" w:left="1340" w:header="720" w:footer="720" w:gutter="0"/>
          <w:cols w:space="720"/>
        </w:sectPr>
      </w:pPr>
    </w:p>
    <w:p w14:paraId="0FCCBB36" w14:textId="77777777" w:rsidR="000B74FF" w:rsidRDefault="00000000">
      <w:pPr>
        <w:pStyle w:val="BodyText"/>
        <w:spacing w:before="70" w:line="237" w:lineRule="auto"/>
        <w:ind w:left="101" w:right="764"/>
      </w:pPr>
      <w:r>
        <w:lastRenderedPageBreak/>
        <w:t>If you are not satisfied with our response or believe we are not processing your personal data in accordance with the law, you can complain to the Information Commissioner at:</w:t>
      </w:r>
    </w:p>
    <w:p w14:paraId="3C36C45C" w14:textId="77777777" w:rsidR="000B74FF" w:rsidRDefault="000B74FF">
      <w:pPr>
        <w:pStyle w:val="BodyText"/>
        <w:spacing w:before="10"/>
      </w:pPr>
    </w:p>
    <w:p w14:paraId="1C17CAAD" w14:textId="77777777" w:rsidR="000B74FF" w:rsidRDefault="00000000">
      <w:pPr>
        <w:pStyle w:val="BodyText"/>
        <w:spacing w:line="237" w:lineRule="auto"/>
        <w:ind w:left="101" w:right="4661"/>
      </w:pPr>
      <w:r>
        <w:t>Information Commissioner’s Office Wycliffe House</w:t>
      </w:r>
    </w:p>
    <w:p w14:paraId="57C70CBD" w14:textId="77777777" w:rsidR="000B74FF" w:rsidRDefault="00000000">
      <w:pPr>
        <w:pStyle w:val="BodyText"/>
        <w:spacing w:line="252" w:lineRule="auto"/>
        <w:ind w:left="101" w:right="6915"/>
      </w:pPr>
      <w:r>
        <w:t>Water Lane Wilmslow</w:t>
      </w:r>
    </w:p>
    <w:p w14:paraId="0A4089DA" w14:textId="77777777" w:rsidR="000B74FF" w:rsidRDefault="00000000">
      <w:pPr>
        <w:pStyle w:val="BodyText"/>
        <w:spacing w:line="255" w:lineRule="exact"/>
        <w:ind w:left="101"/>
      </w:pPr>
      <w:r>
        <w:rPr>
          <w:spacing w:val="-4"/>
        </w:rPr>
        <w:t>Cheshire</w:t>
      </w:r>
      <w:r>
        <w:rPr>
          <w:spacing w:val="58"/>
        </w:rPr>
        <w:t xml:space="preserve"> </w:t>
      </w:r>
      <w:r>
        <w:t>SK9 5AF</w:t>
      </w:r>
    </w:p>
    <w:p w14:paraId="68F525D8" w14:textId="77777777" w:rsidR="000B74FF" w:rsidRDefault="000B74FF">
      <w:pPr>
        <w:pStyle w:val="BodyText"/>
        <w:spacing w:line="274" w:lineRule="exact"/>
        <w:ind w:left="101"/>
      </w:pPr>
      <w:hyperlink r:id="rId18">
        <w:r>
          <w:rPr>
            <w:color w:val="0462C1"/>
            <w:u w:val="single" w:color="0462C1"/>
          </w:rPr>
          <w:t>casework@ico.org.uk</w:t>
        </w:r>
      </w:hyperlink>
    </w:p>
    <w:sectPr w:rsidR="000B74FF">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0763F"/>
    <w:multiLevelType w:val="hybridMultilevel"/>
    <w:tmpl w:val="41665E2E"/>
    <w:lvl w:ilvl="0" w:tplc="98FEF0E2">
      <w:numFmt w:val="bullet"/>
      <w:lvlText w:val=""/>
      <w:lvlJc w:val="left"/>
      <w:pPr>
        <w:ind w:left="823" w:hanging="353"/>
      </w:pPr>
      <w:rPr>
        <w:rFonts w:hint="default"/>
        <w:w w:val="100"/>
        <w:lang w:val="en-GB" w:eastAsia="en-GB" w:bidi="en-GB"/>
      </w:rPr>
    </w:lvl>
    <w:lvl w:ilvl="1" w:tplc="BF28DF40">
      <w:numFmt w:val="bullet"/>
      <w:lvlText w:val="•"/>
      <w:lvlJc w:val="left"/>
      <w:pPr>
        <w:ind w:left="1662" w:hanging="353"/>
      </w:pPr>
      <w:rPr>
        <w:rFonts w:hint="default"/>
        <w:lang w:val="en-GB" w:eastAsia="en-GB" w:bidi="en-GB"/>
      </w:rPr>
    </w:lvl>
    <w:lvl w:ilvl="2" w:tplc="16669716">
      <w:numFmt w:val="bullet"/>
      <w:lvlText w:val="•"/>
      <w:lvlJc w:val="left"/>
      <w:pPr>
        <w:ind w:left="2504" w:hanging="353"/>
      </w:pPr>
      <w:rPr>
        <w:rFonts w:hint="default"/>
        <w:lang w:val="en-GB" w:eastAsia="en-GB" w:bidi="en-GB"/>
      </w:rPr>
    </w:lvl>
    <w:lvl w:ilvl="3" w:tplc="A0AEDD74">
      <w:numFmt w:val="bullet"/>
      <w:lvlText w:val="•"/>
      <w:lvlJc w:val="left"/>
      <w:pPr>
        <w:ind w:left="3347" w:hanging="353"/>
      </w:pPr>
      <w:rPr>
        <w:rFonts w:hint="default"/>
        <w:lang w:val="en-GB" w:eastAsia="en-GB" w:bidi="en-GB"/>
      </w:rPr>
    </w:lvl>
    <w:lvl w:ilvl="4" w:tplc="310049DA">
      <w:numFmt w:val="bullet"/>
      <w:lvlText w:val="•"/>
      <w:lvlJc w:val="left"/>
      <w:pPr>
        <w:ind w:left="4189" w:hanging="353"/>
      </w:pPr>
      <w:rPr>
        <w:rFonts w:hint="default"/>
        <w:lang w:val="en-GB" w:eastAsia="en-GB" w:bidi="en-GB"/>
      </w:rPr>
    </w:lvl>
    <w:lvl w:ilvl="5" w:tplc="9CC4A308">
      <w:numFmt w:val="bullet"/>
      <w:lvlText w:val="•"/>
      <w:lvlJc w:val="left"/>
      <w:pPr>
        <w:ind w:left="5032" w:hanging="353"/>
      </w:pPr>
      <w:rPr>
        <w:rFonts w:hint="default"/>
        <w:lang w:val="en-GB" w:eastAsia="en-GB" w:bidi="en-GB"/>
      </w:rPr>
    </w:lvl>
    <w:lvl w:ilvl="6" w:tplc="E50CC02C">
      <w:numFmt w:val="bullet"/>
      <w:lvlText w:val="•"/>
      <w:lvlJc w:val="left"/>
      <w:pPr>
        <w:ind w:left="5874" w:hanging="353"/>
      </w:pPr>
      <w:rPr>
        <w:rFonts w:hint="default"/>
        <w:lang w:val="en-GB" w:eastAsia="en-GB" w:bidi="en-GB"/>
      </w:rPr>
    </w:lvl>
    <w:lvl w:ilvl="7" w:tplc="10A4D518">
      <w:numFmt w:val="bullet"/>
      <w:lvlText w:val="•"/>
      <w:lvlJc w:val="left"/>
      <w:pPr>
        <w:ind w:left="6716" w:hanging="353"/>
      </w:pPr>
      <w:rPr>
        <w:rFonts w:hint="default"/>
        <w:lang w:val="en-GB" w:eastAsia="en-GB" w:bidi="en-GB"/>
      </w:rPr>
    </w:lvl>
    <w:lvl w:ilvl="8" w:tplc="AFD07454">
      <w:numFmt w:val="bullet"/>
      <w:lvlText w:val="•"/>
      <w:lvlJc w:val="left"/>
      <w:pPr>
        <w:ind w:left="7559" w:hanging="353"/>
      </w:pPr>
      <w:rPr>
        <w:rFonts w:hint="default"/>
        <w:lang w:val="en-GB" w:eastAsia="en-GB" w:bidi="en-GB"/>
      </w:rPr>
    </w:lvl>
  </w:abstractNum>
  <w:num w:numId="1" w16cid:durableId="83507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B74FF"/>
    <w:rsid w:val="000B74FF"/>
    <w:rsid w:val="002A68BB"/>
    <w:rsid w:val="003804B7"/>
    <w:rsid w:val="008C6F56"/>
    <w:rsid w:val="008F260C"/>
    <w:rsid w:val="009601E2"/>
    <w:rsid w:val="00B81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63D7"/>
  <w15:docId w15:val="{C0E867C2-1EA2-4436-B9FE-8EF496EA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
      <w:ind w:left="823" w:hanging="35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260C"/>
    <w:rPr>
      <w:color w:val="0000FF" w:themeColor="hyperlink"/>
      <w:u w:val="single"/>
    </w:rPr>
  </w:style>
  <w:style w:type="character" w:styleId="UnresolvedMention">
    <w:name w:val="Unresolved Mention"/>
    <w:basedOn w:val="DefaultParagraphFont"/>
    <w:uiPriority w:val="99"/>
    <w:semiHidden/>
    <w:unhideWhenUsed/>
    <w:rsid w:val="008F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gislation.gov.uk/eur/2016/679/contents" TargetMode="External"/><Relationship Id="rId13" Type="http://schemas.openxmlformats.org/officeDocument/2006/relationships/hyperlink" Target="https://ico.org.uk/for-organisations/guide-to-the-general-data-protection-regulation-gdpr/individual-rights/right-to-erasure/" TargetMode="External"/><Relationship Id="rId18" Type="http://schemas.openxmlformats.org/officeDocument/2006/relationships/hyperlink" Target="mailto:casework@ico.org.uk" TargetMode="External"/><Relationship Id="rId3" Type="http://schemas.openxmlformats.org/officeDocument/2006/relationships/settings" Target="settings.xml"/><Relationship Id="rId7" Type="http://schemas.openxmlformats.org/officeDocument/2006/relationships/hyperlink" Target="http://www.legislation.gov.uk/ukpga/2018/12/contents/enacted" TargetMode="External"/><Relationship Id="rId12" Type="http://schemas.openxmlformats.org/officeDocument/2006/relationships/hyperlink" Target="https://ico.org.uk/for-organisations/guide-to-the-general-data-protection-regulation-gdpr/individual-rights/right-to-rectification/" TargetMode="External"/><Relationship Id="rId17" Type="http://schemas.openxmlformats.org/officeDocument/2006/relationships/hyperlink" Target="https://ico.org.uk/for-organisations/guide-to-the-general-data-protection-regulation-gdpr/individual-rights/rights-related-to-automated-decision-making-including-profiling/" TargetMode="External"/><Relationship Id="rId2" Type="http://schemas.openxmlformats.org/officeDocument/2006/relationships/styles" Target="styles.xml"/><Relationship Id="rId16" Type="http://schemas.openxmlformats.org/officeDocument/2006/relationships/hyperlink" Target="https://ico.org.uk/for-organisations/guide-to-the-general-data-protection-regulation-gdpr/individual-rights/right-to-obje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PO@Communities-ni.gov.uk" TargetMode="External"/><Relationship Id="rId11" Type="http://schemas.openxmlformats.org/officeDocument/2006/relationships/hyperlink" Target="https://ico.org.uk/for-organisations/guide-to-the-general-data-protection-regulation-gdpr/individual-rights/right-of-access/" TargetMode="External"/><Relationship Id="rId5" Type="http://schemas.openxmlformats.org/officeDocument/2006/relationships/hyperlink" Target="mailto:analyticsdivision@communities-ni.gov.uk" TargetMode="External"/><Relationship Id="rId15" Type="http://schemas.openxmlformats.org/officeDocument/2006/relationships/hyperlink" Target="https://ico.org.uk/for-organisations/guide-to-the-general-data-protection-regulation-gdpr/individual-rights/right-to-data-portability/" TargetMode="External"/><Relationship Id="rId10" Type="http://schemas.openxmlformats.org/officeDocument/2006/relationships/hyperlink" Target="https://ico.org.uk/for-organisations/guide-to-the-general-data-protection-regulation-gdpr/individual-rights/right-of-acces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unities-ni.gov.uk/dfc-privacy-notice" TargetMode="External"/><Relationship Id="rId14" Type="http://schemas.openxmlformats.org/officeDocument/2006/relationships/hyperlink" Target="https://ico.org.uk/for-organisations/guide-to-the-general-data-protection-regulation-gdpr/individual-rights/right-to-restrict-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805</Words>
  <Characters>4590</Characters>
  <Application>Microsoft Office Word</Application>
  <DocSecurity>0</DocSecurity>
  <Lines>38</Lines>
  <Paragraphs>10</Paragraphs>
  <ScaleCrop>false</ScaleCrop>
  <Company>NICS</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Kinghan, Carole</dc:creator>
  <cp:lastModifiedBy>Bryson, Iain</cp:lastModifiedBy>
  <cp:revision>5</cp:revision>
  <dcterms:created xsi:type="dcterms:W3CDTF">2025-04-29T08:49:00Z</dcterms:created>
  <dcterms:modified xsi:type="dcterms:W3CDTF">2025-04-30T08:26:00Z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for Microsoft 365</vt:lpwstr>
  </property>
  <property fmtid="{D5CDD505-2E9C-101B-9397-08002B2CF9AE}" pid="4" name="LastSaved">
    <vt:filetime>2025-04-29T00:00:00Z</vt:filetime>
  </property>
</Properties>
</file>